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hAnsi="Times New Roman" w:eastAsia="方正小标宋_GBK" w:cs="Times New Roman"/>
          <w:spacing w:val="-16"/>
          <w:sz w:val="38"/>
          <w:szCs w:val="38"/>
          <w:u w:val="none"/>
          <w:lang w:val="en-US" w:eastAsia="zh-CN"/>
        </w:rPr>
      </w:pPr>
      <w:r>
        <w:rPr>
          <w:rFonts w:hint="eastAsia" w:ascii="方正小标宋_GBK" w:hAnsi="Times New Roman" w:eastAsia="方正小标宋_GBK" w:cs="Times New Roman"/>
          <w:spacing w:val="-16"/>
          <w:sz w:val="38"/>
          <w:szCs w:val="38"/>
          <w:u w:val="none"/>
        </w:rPr>
        <w:t>中国石油天然气股份有限公司天津销售分公司津南路通加油站突发环境事件应急预案</w:t>
      </w:r>
      <w:r>
        <w:rPr>
          <w:rFonts w:hint="eastAsia" w:ascii="方正小标宋_GBK" w:hAnsi="Times New Roman" w:eastAsia="方正小标宋_GBK" w:cs="Times New Roman"/>
          <w:spacing w:val="-16"/>
          <w:sz w:val="38"/>
          <w:szCs w:val="38"/>
          <w:u w:val="none"/>
          <w:lang w:val="en-US" w:eastAsia="zh-CN"/>
        </w:rPr>
        <w:t>修改说明</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1"/>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1" w:type="dxa"/>
          </w:tcPr>
          <w:p>
            <w:pPr>
              <w:adjustRightInd w:val="0"/>
              <w:snapToGrid w:val="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问题清单</w:t>
            </w:r>
          </w:p>
        </w:tc>
        <w:tc>
          <w:tcPr>
            <w:tcW w:w="2561" w:type="dxa"/>
          </w:tcPr>
          <w:p>
            <w:pPr>
              <w:adjustRightInd w:val="0"/>
              <w:snapToGrid w:val="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修改情况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1" w:type="dxa"/>
          </w:tcPr>
          <w:p>
            <w:pPr>
              <w:adjustRightInd w:val="0"/>
              <w:snapToGrid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1、明确站区是否全面地面硬化以明确泄漏事故是否有站内土壤污染后果。</w:t>
            </w:r>
          </w:p>
        </w:tc>
        <w:tc>
          <w:tcPr>
            <w:tcW w:w="2561" w:type="dxa"/>
          </w:tcPr>
          <w:p>
            <w:pPr>
              <w:adjustRightInd w:val="0"/>
              <w:snapToGrid w:val="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风险评估报告P26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1" w:type="dxa"/>
          </w:tcPr>
          <w:p>
            <w:pPr>
              <w:adjustRightInd w:val="0"/>
              <w:snapToGrid w:val="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2、明确火灾事故下是否需要进行周围人群疏散及疏散的范围。明确各类环境事故特别是水环境污染事故的的危害程度和范围。</w:t>
            </w:r>
          </w:p>
        </w:tc>
        <w:tc>
          <w:tcPr>
            <w:tcW w:w="2561" w:type="dxa"/>
          </w:tcPr>
          <w:p>
            <w:pPr>
              <w:adjustRightInd w:val="0"/>
              <w:snapToGrid w:val="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应急预案P26</w:t>
            </w:r>
          </w:p>
          <w:p>
            <w:pPr>
              <w:adjustRightInd w:val="0"/>
              <w:snapToGrid w:val="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风险评估报告P25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1" w:type="dxa"/>
          </w:tcPr>
          <w:p>
            <w:pPr>
              <w:adjustRightInd w:val="0"/>
              <w:snapToGrid w:val="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3、本预案应着眼于站级应急预案，明确其为中国石油天然气股份有限公司天津销售分公司突发环境事件应急预案的现场级预案的定位。明确哪级响应级别下与分公司预案的衔接。</w:t>
            </w:r>
          </w:p>
        </w:tc>
        <w:tc>
          <w:tcPr>
            <w:tcW w:w="2561" w:type="dxa"/>
          </w:tcPr>
          <w:p>
            <w:pPr>
              <w:adjustRightInd w:val="0"/>
              <w:snapToGrid w:val="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应急预案P25</w:t>
            </w:r>
          </w:p>
          <w:p>
            <w:pPr>
              <w:adjustRightInd w:val="0"/>
              <w:snapToGrid w:val="0"/>
              <w:rPr>
                <w:rFonts w:hint="eastAsia" w:ascii="宋体" w:hAnsi="宋体"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1" w:type="dxa"/>
          </w:tcPr>
          <w:p>
            <w:pPr>
              <w:adjustRightInd w:val="0"/>
              <w:snapToGrid w:val="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明确站内视频监控、液位报警器及可燃气体报警等预警手段及信息反馈机制。进一步完善应急响应判定条件，补充卸油作业初起泄漏及加油枪泄漏响应级别，核实各级别预警的发布权限，明确各响应级别的指挥权限。</w:t>
            </w:r>
          </w:p>
        </w:tc>
        <w:tc>
          <w:tcPr>
            <w:tcW w:w="2561" w:type="dxa"/>
          </w:tcPr>
          <w:p>
            <w:pPr>
              <w:adjustRightInd w:val="0"/>
              <w:snapToGrid w:val="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应急预案P18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1" w:type="dxa"/>
          </w:tcPr>
          <w:p>
            <w:pPr>
              <w:adjustRightInd w:val="0"/>
              <w:snapToGrid w:val="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应急处置队伍应根据站内人员编制实事求是分工，着眼于三级响应下的少量泄漏处置及二级响应下的先期处置（周围人群疏散与泄漏物截流），补充信息通报职能。应急监测可说明一级响应时利用分公司应急队伍的人力资源，协助生态环境管理部门的应急监测。建议与邻近单位建立互助关系，以增强先期处置能力。并在二级响应以上衔接上级公司应急预案，以利用上级公司应急资源。</w:t>
            </w:r>
          </w:p>
        </w:tc>
        <w:tc>
          <w:tcPr>
            <w:tcW w:w="2561" w:type="dxa"/>
          </w:tcPr>
          <w:p>
            <w:pPr>
              <w:adjustRightInd w:val="0"/>
              <w:snapToGrid w:val="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应急预案P22-24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1" w:type="dxa"/>
          </w:tcPr>
          <w:p>
            <w:pPr>
              <w:adjustRightInd w:val="0"/>
              <w:snapToGrid w:val="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6、各类事故的处置应根据现场事故演化过程进一步流程化，合理设定报警预警、响应级别及处置措施，紧密结合企业实际的应急资源，明确火灾事故厂外人群疏散方案，明确可能的疏散范围；补充消防废水及大量油品泄漏利用厂外雨水排水沟渠控制收容泄漏油品的方案建议；明确事后恢复的工作内容（如控制在沟渠的消防废水的处置或可能的水环境污染配合政府的污染评估和赔偿等）和责任人，关键岗位的应急处置卡应着眼于泄漏处置、紧急关停加油泵、卸油阀等具体方案；结合事故类型完善应急监测因子。</w:t>
            </w:r>
          </w:p>
        </w:tc>
        <w:tc>
          <w:tcPr>
            <w:tcW w:w="2561" w:type="dxa"/>
          </w:tcPr>
          <w:p>
            <w:pPr>
              <w:adjustRightInd w:val="0"/>
              <w:snapToGrid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应急预案P24-26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1" w:type="dxa"/>
          </w:tcPr>
          <w:p>
            <w:pPr>
              <w:adjustRightInd w:val="0"/>
              <w:snapToGrid w:val="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7、完善预案内部桌面推演发现的问题及预案完善的说明。周围人群意见调查应侧重对本企业风险是否知晓、大气危害事故发生时避险方案是否可行等内容。</w:t>
            </w:r>
          </w:p>
        </w:tc>
        <w:tc>
          <w:tcPr>
            <w:tcW w:w="2561" w:type="dxa"/>
          </w:tcPr>
          <w:p>
            <w:pPr>
              <w:adjustRightInd w:val="0"/>
              <w:snapToGrid w:val="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编制说明P2-P3</w:t>
            </w:r>
            <w:bookmarkStart w:id="0" w:name="_GoBack"/>
            <w:bookmarkEnd w:id="0"/>
          </w:p>
        </w:tc>
      </w:tr>
    </w:tbl>
    <w:p>
      <w:pPr>
        <w:adjustRightInd w:val="0"/>
        <w:snapToGrid w:val="0"/>
        <w:jc w:val="center"/>
        <w:rPr>
          <w:rFonts w:hint="eastAsia" w:ascii="方正小标宋_GBK" w:hAnsi="Times New Roman" w:eastAsia="方正小标宋_GBK" w:cs="Times New Roman"/>
          <w:spacing w:val="-16"/>
          <w:sz w:val="38"/>
          <w:szCs w:val="3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9D2A2E"/>
    <w:rsid w:val="540D4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4">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HYLY</dc:creator>
  <cp:lastModifiedBy>HYLY</cp:lastModifiedBy>
  <dcterms:modified xsi:type="dcterms:W3CDTF">2019-08-24T10:13:48Z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