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85" w:rsidRDefault="00B073E1">
      <w:pPr>
        <w:autoSpaceDE w:val="0"/>
        <w:autoSpaceDN w:val="0"/>
        <w:adjustRightInd w:val="0"/>
        <w:snapToGrid w:val="0"/>
        <w:jc w:val="left"/>
        <w:rPr>
          <w:rFonts w:ascii="黑体" w:eastAsia="黑体" w:hAnsi="Times New Roman"/>
          <w:kern w:val="0"/>
        </w:rPr>
      </w:pPr>
      <w:r>
        <w:rPr>
          <w:rFonts w:ascii="黑体" w:eastAsia="黑体" w:hAnsi="Times New Roman" w:hint="eastAsia"/>
          <w:kern w:val="0"/>
        </w:rPr>
        <w:t>附表1</w:t>
      </w:r>
    </w:p>
    <w:p w:rsidR="00430C85" w:rsidRDefault="00430C85">
      <w:pPr>
        <w:autoSpaceDE w:val="0"/>
        <w:autoSpaceDN w:val="0"/>
        <w:adjustRightInd w:val="0"/>
        <w:snapToGrid w:val="0"/>
        <w:spacing w:line="408" w:lineRule="auto"/>
        <w:jc w:val="left"/>
        <w:rPr>
          <w:rFonts w:ascii="黑体" w:eastAsia="黑体" w:hAnsi="Times New Roman"/>
          <w:kern w:val="0"/>
        </w:rPr>
      </w:pPr>
    </w:p>
    <w:p w:rsidR="00430C85" w:rsidRDefault="00B073E1">
      <w:pPr>
        <w:adjustRightInd w:val="0"/>
        <w:snapToGrid w:val="0"/>
        <w:jc w:val="center"/>
        <w:rPr>
          <w:rFonts w:ascii="方正小标宋_GBK" w:eastAsia="方正小标宋_GBK" w:hAnsi="华文中宋"/>
          <w:sz w:val="38"/>
          <w:szCs w:val="38"/>
        </w:rPr>
      </w:pPr>
      <w:r>
        <w:rPr>
          <w:rFonts w:ascii="方正小标宋_GBK" w:eastAsia="方正小标宋_GBK" w:hAnsi="华文中宋" w:hint="eastAsia"/>
          <w:sz w:val="38"/>
          <w:szCs w:val="38"/>
        </w:rPr>
        <w:t>企业事业单位突发环境事件应急预案评审表</w:t>
      </w:r>
    </w:p>
    <w:p w:rsidR="00430C85" w:rsidRDefault="00430C85">
      <w:pPr>
        <w:autoSpaceDE w:val="0"/>
        <w:autoSpaceDN w:val="0"/>
        <w:adjustRightInd w:val="0"/>
        <w:snapToGrid w:val="0"/>
        <w:spacing w:line="408" w:lineRule="auto"/>
        <w:jc w:val="left"/>
        <w:rPr>
          <w:rFonts w:ascii="黑体" w:eastAsia="黑体" w:hAnsi="Times New Roman"/>
          <w:kern w:val="0"/>
        </w:rPr>
      </w:pPr>
    </w:p>
    <w:tbl>
      <w:tblPr>
        <w:tblW w:w="137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426"/>
        <w:gridCol w:w="4819"/>
        <w:gridCol w:w="1276"/>
        <w:gridCol w:w="567"/>
        <w:gridCol w:w="40"/>
        <w:gridCol w:w="669"/>
        <w:gridCol w:w="4850"/>
      </w:tblGrid>
      <w:tr w:rsidR="00430C85">
        <w:trPr>
          <w:trHeight w:val="1270"/>
          <w:jc w:val="center"/>
        </w:trPr>
        <w:tc>
          <w:tcPr>
            <w:tcW w:w="13781" w:type="dxa"/>
            <w:gridSpan w:val="8"/>
            <w:vAlign w:val="center"/>
          </w:tcPr>
          <w:p w:rsidR="00430C85" w:rsidRDefault="00B073E1" w:rsidP="00335BA4">
            <w:pPr>
              <w:adjustRightInd w:val="0"/>
              <w:snapToGrid w:val="0"/>
              <w:spacing w:beforeLines="30" w:before="130"/>
              <w:jc w:val="left"/>
              <w:rPr>
                <w:rFonts w:ascii="宋体" w:eastAsia="宋体" w:hAnsi="宋体"/>
                <w:sz w:val="21"/>
                <w:szCs w:val="21"/>
              </w:rPr>
            </w:pPr>
            <w:r>
              <w:rPr>
                <w:rFonts w:ascii="宋体" w:eastAsia="宋体" w:hAnsi="宋体" w:hint="eastAsia"/>
                <w:sz w:val="21"/>
                <w:szCs w:val="21"/>
              </w:rPr>
              <w:t>预案编制单位：</w:t>
            </w:r>
            <w:r w:rsidR="001C7C6D" w:rsidRPr="001C7C6D">
              <w:rPr>
                <w:rFonts w:ascii="宋体" w:eastAsia="宋体" w:hAnsi="宋体" w:hint="eastAsia"/>
                <w:bCs/>
                <w:sz w:val="21"/>
                <w:szCs w:val="21"/>
                <w:u w:val="single"/>
              </w:rPr>
              <w:t>中国石油天然气股份有限公司天津销售分公司</w:t>
            </w:r>
            <w:r w:rsidR="00F53A8B" w:rsidRPr="00F53A8B">
              <w:rPr>
                <w:rFonts w:ascii="宋体" w:eastAsia="宋体" w:hAnsi="宋体" w:hint="eastAsia"/>
                <w:bCs/>
                <w:sz w:val="21"/>
                <w:szCs w:val="21"/>
                <w:u w:val="single"/>
              </w:rPr>
              <w:t>津南泰和加油站</w:t>
            </w:r>
            <w:bookmarkStart w:id="0" w:name="_GoBack"/>
            <w:bookmarkEnd w:id="0"/>
            <w:r>
              <w:rPr>
                <w:rFonts w:ascii="宋体" w:eastAsia="宋体" w:hAnsi="宋体"/>
                <w:sz w:val="21"/>
                <w:szCs w:val="21"/>
                <w:u w:val="single"/>
              </w:rPr>
              <w:t xml:space="preserve">                     </w:t>
            </w:r>
          </w:p>
          <w:p w:rsidR="00430C85" w:rsidRDefault="00B073E1">
            <w:pPr>
              <w:adjustRightInd w:val="0"/>
              <w:snapToGrid w:val="0"/>
              <w:jc w:val="left"/>
              <w:rPr>
                <w:rFonts w:ascii="宋体" w:eastAsia="宋体" w:hAnsi="宋体"/>
                <w:sz w:val="21"/>
                <w:szCs w:val="21"/>
              </w:rPr>
            </w:pPr>
            <w:r>
              <w:rPr>
                <w:rFonts w:ascii="宋体" w:eastAsia="宋体" w:hAnsi="宋体"/>
                <w:sz w:val="21"/>
                <w:szCs w:val="21"/>
              </w:rPr>
              <w:t>(</w:t>
            </w:r>
            <w:r>
              <w:rPr>
                <w:rFonts w:ascii="宋体" w:eastAsia="宋体" w:hAnsi="宋体" w:hint="eastAsia"/>
                <w:sz w:val="21"/>
                <w:szCs w:val="21"/>
              </w:rPr>
              <w:t>专业技术服务机构：</w:t>
            </w:r>
            <w:r>
              <w:rPr>
                <w:rFonts w:ascii="宋体" w:eastAsia="宋体" w:hAnsi="宋体"/>
                <w:sz w:val="21"/>
                <w:szCs w:val="21"/>
                <w:u w:val="single"/>
              </w:rPr>
              <w:t xml:space="preserve">                                                           </w:t>
            </w:r>
            <w:r>
              <w:rPr>
                <w:rFonts w:ascii="宋体" w:eastAsia="宋体" w:hAnsi="宋体"/>
                <w:sz w:val="21"/>
                <w:szCs w:val="21"/>
              </w:rPr>
              <w:t>)</w:t>
            </w:r>
          </w:p>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企业环境风险级别：</w:t>
            </w:r>
            <w:r w:rsidR="005833DB">
              <w:rPr>
                <w:rFonts w:ascii="宋体" w:eastAsia="宋体" w:hAnsi="宋体" w:hint="eastAsia"/>
                <w:sz w:val="21"/>
                <w:szCs w:val="21"/>
              </w:rPr>
              <w:t>■</w:t>
            </w:r>
            <w:r>
              <w:rPr>
                <w:rFonts w:ascii="宋体" w:eastAsia="宋体" w:hAnsi="宋体" w:hint="eastAsia"/>
                <w:sz w:val="21"/>
                <w:szCs w:val="21"/>
              </w:rPr>
              <w:t>一般；</w:t>
            </w:r>
            <w:r w:rsidR="005833DB">
              <w:rPr>
                <w:rFonts w:ascii="宋体" w:eastAsia="宋体" w:hAnsi="宋体" w:hint="eastAsia"/>
                <w:sz w:val="21"/>
                <w:szCs w:val="21"/>
              </w:rPr>
              <w:t>□</w:t>
            </w:r>
            <w:r>
              <w:rPr>
                <w:rFonts w:ascii="宋体" w:eastAsia="宋体" w:hAnsi="宋体" w:hint="eastAsia"/>
                <w:sz w:val="21"/>
                <w:szCs w:val="21"/>
              </w:rPr>
              <w:t>较大；□重大</w:t>
            </w:r>
          </w:p>
          <w:p w:rsidR="00430C85" w:rsidRDefault="00B073E1" w:rsidP="00335BA4">
            <w:pPr>
              <w:adjustRightInd w:val="0"/>
              <w:snapToGrid w:val="0"/>
              <w:spacing w:afterLines="30" w:after="130"/>
              <w:jc w:val="right"/>
              <w:rPr>
                <w:rFonts w:ascii="仿宋_GB2312" w:hAnsi="宋体"/>
                <w:b/>
                <w:sz w:val="24"/>
                <w:szCs w:val="24"/>
              </w:rPr>
            </w:pPr>
            <w:r>
              <w:rPr>
                <w:rFonts w:ascii="仿宋_GB2312" w:hAnsi="宋体" w:hint="eastAsia"/>
                <w:b/>
                <w:sz w:val="24"/>
                <w:szCs w:val="24"/>
              </w:rPr>
              <w:t>（本栏由企业填写）</w:t>
            </w:r>
          </w:p>
        </w:tc>
      </w:tr>
      <w:tr w:rsidR="00430C85">
        <w:trPr>
          <w:trHeight w:val="439"/>
          <w:jc w:val="center"/>
        </w:trPr>
        <w:tc>
          <w:tcPr>
            <w:tcW w:w="13781" w:type="dxa"/>
            <w:gridSpan w:val="8"/>
            <w:vAlign w:val="center"/>
          </w:tcPr>
          <w:p w:rsidR="00430C85" w:rsidRDefault="00B073E1">
            <w:pPr>
              <w:adjustRightInd w:val="0"/>
              <w:snapToGrid w:val="0"/>
              <w:jc w:val="center"/>
              <w:rPr>
                <w:rFonts w:ascii="黑体" w:eastAsia="黑体" w:hAnsi="黑体"/>
                <w:sz w:val="21"/>
                <w:szCs w:val="21"/>
              </w:rPr>
            </w:pPr>
            <w:r>
              <w:rPr>
                <w:rFonts w:ascii="黑体" w:eastAsia="黑体" w:hAnsi="黑体" w:hint="eastAsia"/>
                <w:sz w:val="21"/>
                <w:szCs w:val="21"/>
              </w:rPr>
              <w:t>“一票否决”项（以下三项中任意一项判定为“不符合”，则评审结论为“未通过”）</w:t>
            </w:r>
          </w:p>
        </w:tc>
      </w:tr>
      <w:tr w:rsidR="00430C85">
        <w:trPr>
          <w:trHeight w:val="275"/>
          <w:jc w:val="center"/>
        </w:trPr>
        <w:tc>
          <w:tcPr>
            <w:tcW w:w="6379" w:type="dxa"/>
            <w:gridSpan w:val="3"/>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评 审 指 标</w:t>
            </w:r>
          </w:p>
        </w:tc>
        <w:tc>
          <w:tcPr>
            <w:tcW w:w="2552" w:type="dxa"/>
            <w:gridSpan w:val="4"/>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评审意见</w:t>
            </w:r>
          </w:p>
        </w:tc>
        <w:tc>
          <w:tcPr>
            <w:tcW w:w="4850"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指 标 说 明</w:t>
            </w:r>
          </w:p>
        </w:tc>
      </w:tr>
      <w:tr w:rsidR="00430C85">
        <w:trPr>
          <w:trHeight w:val="196"/>
          <w:jc w:val="center"/>
        </w:trPr>
        <w:tc>
          <w:tcPr>
            <w:tcW w:w="6379" w:type="dxa"/>
            <w:gridSpan w:val="3"/>
            <w:vMerge/>
            <w:vAlign w:val="center"/>
          </w:tcPr>
          <w:p w:rsidR="00430C85" w:rsidRDefault="00430C85">
            <w:pPr>
              <w:adjustRightInd w:val="0"/>
              <w:snapToGrid w:val="0"/>
              <w:jc w:val="center"/>
              <w:rPr>
                <w:rFonts w:ascii="宋体" w:eastAsia="宋体" w:hAnsi="宋体"/>
                <w:sz w:val="21"/>
                <w:szCs w:val="21"/>
              </w:rPr>
            </w:pPr>
          </w:p>
        </w:tc>
        <w:tc>
          <w:tcPr>
            <w:tcW w:w="1276"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判  定</w:t>
            </w:r>
          </w:p>
        </w:tc>
        <w:tc>
          <w:tcPr>
            <w:tcW w:w="1276" w:type="dxa"/>
            <w:gridSpan w:val="3"/>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说  明</w:t>
            </w:r>
          </w:p>
        </w:tc>
        <w:tc>
          <w:tcPr>
            <w:tcW w:w="4850" w:type="dxa"/>
            <w:vMerge/>
            <w:vAlign w:val="center"/>
          </w:tcPr>
          <w:p w:rsidR="00430C85" w:rsidRDefault="00430C85">
            <w:pPr>
              <w:adjustRightInd w:val="0"/>
              <w:snapToGrid w:val="0"/>
              <w:jc w:val="left"/>
              <w:rPr>
                <w:rFonts w:ascii="宋体" w:eastAsia="宋体" w:hAnsi="宋体"/>
                <w:sz w:val="21"/>
                <w:szCs w:val="21"/>
              </w:rPr>
            </w:pPr>
          </w:p>
        </w:tc>
      </w:tr>
      <w:tr w:rsidR="00430C85">
        <w:trPr>
          <w:trHeight w:val="944"/>
          <w:jc w:val="center"/>
        </w:trPr>
        <w:tc>
          <w:tcPr>
            <w:tcW w:w="6379" w:type="dxa"/>
            <w:gridSpan w:val="3"/>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有单独的环境风险评估报告和环境应急资源调查报告（表）</w:t>
            </w:r>
          </w:p>
        </w:tc>
        <w:tc>
          <w:tcPr>
            <w:tcW w:w="1276" w:type="dxa"/>
            <w:vAlign w:val="center"/>
          </w:tcPr>
          <w:p w:rsidR="00430C85" w:rsidRDefault="00B5740B">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1276" w:type="dxa"/>
            <w:gridSpan w:val="3"/>
            <w:vAlign w:val="center"/>
          </w:tcPr>
          <w:p w:rsidR="00430C85" w:rsidRDefault="00430C85">
            <w:pPr>
              <w:adjustRightInd w:val="0"/>
              <w:snapToGrid w:val="0"/>
              <w:jc w:val="left"/>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突发事件应急预案管理办法有关规定；</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备案管理办法第十条要求，应当在开展环境风险评估和环境应急资源调查的基础上编制环境应急预案</w:t>
            </w:r>
          </w:p>
        </w:tc>
      </w:tr>
      <w:tr w:rsidR="00430C85">
        <w:trPr>
          <w:trHeight w:val="1420"/>
          <w:jc w:val="center"/>
        </w:trPr>
        <w:tc>
          <w:tcPr>
            <w:tcW w:w="6379" w:type="dxa"/>
            <w:gridSpan w:val="3"/>
            <w:vAlign w:val="center"/>
          </w:tcPr>
          <w:p w:rsidR="00430C85" w:rsidRDefault="00B073E1">
            <w:pPr>
              <w:adjustRightInd w:val="0"/>
              <w:snapToGrid w:val="0"/>
              <w:jc w:val="left"/>
              <w:rPr>
                <w:rFonts w:ascii="宋体" w:eastAsia="宋体" w:hAnsi="宋体"/>
                <w:spacing w:val="-4"/>
                <w:sz w:val="21"/>
                <w:szCs w:val="21"/>
              </w:rPr>
            </w:pPr>
            <w:r>
              <w:rPr>
                <w:rFonts w:ascii="宋体" w:eastAsia="宋体" w:hAnsi="宋体" w:hint="eastAsia"/>
                <w:spacing w:val="-4"/>
                <w:sz w:val="21"/>
                <w:szCs w:val="21"/>
              </w:rPr>
              <w:t>从可能的突发环境事件情景出发编制</w:t>
            </w:r>
            <w:proofErr w:type="gramStart"/>
            <w:r>
              <w:rPr>
                <w:rFonts w:ascii="宋体" w:eastAsia="宋体" w:hAnsi="宋体" w:hint="eastAsia"/>
                <w:spacing w:val="-4"/>
                <w:sz w:val="21"/>
                <w:szCs w:val="21"/>
              </w:rPr>
              <w:t>且典型</w:t>
            </w:r>
            <w:proofErr w:type="gramEnd"/>
            <w:r>
              <w:rPr>
                <w:rFonts w:ascii="宋体" w:eastAsia="宋体" w:hAnsi="宋体" w:hint="eastAsia"/>
                <w:spacing w:val="-4"/>
                <w:sz w:val="21"/>
                <w:szCs w:val="21"/>
              </w:rPr>
              <w:t>突发环境事件情景无缺失</w:t>
            </w:r>
          </w:p>
        </w:tc>
        <w:tc>
          <w:tcPr>
            <w:tcW w:w="1276" w:type="dxa"/>
            <w:vAlign w:val="center"/>
          </w:tcPr>
          <w:p w:rsidR="00430C85" w:rsidRDefault="00B5740B">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1276" w:type="dxa"/>
            <w:gridSpan w:val="3"/>
            <w:vAlign w:val="center"/>
          </w:tcPr>
          <w:p w:rsidR="00430C85" w:rsidRDefault="00430C85">
            <w:pPr>
              <w:adjustRightInd w:val="0"/>
              <w:snapToGrid w:val="0"/>
              <w:jc w:val="left"/>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突发事件应对法有关规定；</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备案管理办法第九、十条，均对企业从可能的突发环境事件情景出发编制环境应急预案提出了要求；</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典型突发环境事件情景基于真实事件与预期风险凝练、集合而成，体现各类事件的共性与规律</w:t>
            </w:r>
          </w:p>
        </w:tc>
      </w:tr>
      <w:tr w:rsidR="00430C85">
        <w:trPr>
          <w:trHeight w:val="930"/>
          <w:jc w:val="center"/>
        </w:trPr>
        <w:tc>
          <w:tcPr>
            <w:tcW w:w="6379" w:type="dxa"/>
            <w:gridSpan w:val="3"/>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能够让周边居民和单位获得事件信息</w:t>
            </w:r>
          </w:p>
        </w:tc>
        <w:tc>
          <w:tcPr>
            <w:tcW w:w="1276" w:type="dxa"/>
            <w:vAlign w:val="center"/>
          </w:tcPr>
          <w:p w:rsidR="00430C85" w:rsidRDefault="00B5740B">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1276" w:type="dxa"/>
            <w:gridSpan w:val="3"/>
            <w:vAlign w:val="center"/>
          </w:tcPr>
          <w:p w:rsidR="00430C85" w:rsidRDefault="00430C85">
            <w:pPr>
              <w:adjustRightInd w:val="0"/>
              <w:snapToGrid w:val="0"/>
              <w:jc w:val="left"/>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环境保护法第四十七条规定，在发生或可能发生突发环境事件时，企业应当及时通报可能受到危害的单位和居民。备案管理办法第十条也提出了相应要求</w:t>
            </w:r>
          </w:p>
        </w:tc>
      </w:tr>
      <w:tr w:rsidR="00430C85">
        <w:trPr>
          <w:trHeight w:val="536"/>
          <w:jc w:val="center"/>
        </w:trPr>
        <w:tc>
          <w:tcPr>
            <w:tcW w:w="13781" w:type="dxa"/>
            <w:gridSpan w:val="8"/>
            <w:vAlign w:val="center"/>
          </w:tcPr>
          <w:p w:rsidR="00430C85" w:rsidRDefault="00B073E1">
            <w:pPr>
              <w:adjustRightInd w:val="0"/>
              <w:snapToGrid w:val="0"/>
              <w:jc w:val="center"/>
              <w:rPr>
                <w:rFonts w:ascii="黑体" w:eastAsia="黑体" w:hAnsi="黑体"/>
                <w:sz w:val="21"/>
                <w:szCs w:val="21"/>
              </w:rPr>
            </w:pPr>
            <w:r>
              <w:rPr>
                <w:rFonts w:ascii="黑体" w:eastAsia="黑体" w:hAnsi="黑体" w:hint="eastAsia"/>
                <w:sz w:val="21"/>
                <w:szCs w:val="21"/>
              </w:rPr>
              <w:lastRenderedPageBreak/>
              <w:t>环境应急预案及相关文件的基本形式</w:t>
            </w:r>
          </w:p>
        </w:tc>
      </w:tr>
      <w:tr w:rsidR="00430C85">
        <w:trPr>
          <w:trHeight w:val="402"/>
          <w:jc w:val="center"/>
        </w:trPr>
        <w:tc>
          <w:tcPr>
            <w:tcW w:w="1134"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评审项目</w:t>
            </w:r>
          </w:p>
        </w:tc>
        <w:tc>
          <w:tcPr>
            <w:tcW w:w="5245" w:type="dxa"/>
            <w:gridSpan w:val="2"/>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评 审 指 标</w:t>
            </w:r>
          </w:p>
        </w:tc>
        <w:tc>
          <w:tcPr>
            <w:tcW w:w="2552" w:type="dxa"/>
            <w:gridSpan w:val="4"/>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评审意见</w:t>
            </w:r>
          </w:p>
        </w:tc>
        <w:tc>
          <w:tcPr>
            <w:tcW w:w="4850"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指 标 说 明</w:t>
            </w:r>
          </w:p>
        </w:tc>
      </w:tr>
      <w:tr w:rsidR="00430C85">
        <w:trPr>
          <w:trHeight w:val="421"/>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5245" w:type="dxa"/>
            <w:gridSpan w:val="2"/>
            <w:vMerge/>
            <w:vAlign w:val="center"/>
          </w:tcPr>
          <w:p w:rsidR="00430C85" w:rsidRDefault="00430C85">
            <w:pPr>
              <w:adjustRightInd w:val="0"/>
              <w:snapToGrid w:val="0"/>
              <w:jc w:val="center"/>
              <w:rPr>
                <w:rFonts w:ascii="宋体" w:eastAsia="宋体" w:hAnsi="宋体"/>
                <w:sz w:val="21"/>
                <w:szCs w:val="21"/>
              </w:rPr>
            </w:pPr>
          </w:p>
        </w:tc>
        <w:tc>
          <w:tcPr>
            <w:tcW w:w="1276"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判定</w:t>
            </w:r>
          </w:p>
        </w:tc>
        <w:tc>
          <w:tcPr>
            <w:tcW w:w="567"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得分</w:t>
            </w:r>
          </w:p>
        </w:tc>
        <w:tc>
          <w:tcPr>
            <w:tcW w:w="709" w:type="dxa"/>
            <w:gridSpan w:val="2"/>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说明</w:t>
            </w:r>
          </w:p>
        </w:tc>
        <w:tc>
          <w:tcPr>
            <w:tcW w:w="4850" w:type="dxa"/>
            <w:vMerge/>
            <w:vAlign w:val="center"/>
          </w:tcPr>
          <w:p w:rsidR="00430C85" w:rsidRDefault="00430C85">
            <w:pPr>
              <w:adjustRightInd w:val="0"/>
              <w:snapToGrid w:val="0"/>
              <w:jc w:val="center"/>
              <w:rPr>
                <w:rFonts w:ascii="宋体" w:eastAsia="宋体" w:hAnsi="宋体"/>
                <w:sz w:val="21"/>
                <w:szCs w:val="21"/>
              </w:rPr>
            </w:pPr>
          </w:p>
        </w:tc>
      </w:tr>
      <w:tr w:rsidR="00430C85" w:rsidTr="004017CA">
        <w:trPr>
          <w:trHeight w:val="1812"/>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封面目录</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vertAlign w:val="superscript"/>
              </w:rPr>
            </w:pPr>
            <w:r>
              <w:rPr>
                <w:rFonts w:ascii="宋体" w:eastAsia="宋体" w:hAnsi="宋体" w:hint="eastAsia"/>
                <w:sz w:val="21"/>
                <w:szCs w:val="21"/>
              </w:rPr>
              <w:t>1</w:t>
            </w:r>
            <w:r>
              <w:rPr>
                <w:rFonts w:ascii="宋体" w:eastAsia="宋体" w:hAnsi="宋体" w:hint="eastAsia"/>
                <w:sz w:val="21"/>
                <w:szCs w:val="21"/>
                <w:vertAlign w:val="superscript"/>
              </w:rPr>
              <w:t>a</w:t>
            </w:r>
          </w:p>
        </w:tc>
        <w:tc>
          <w:tcPr>
            <w:tcW w:w="4819"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封面有环境应急预案、预案编制单位名称，预留正式发布预案的版本号、发布日期等设计；</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目录有编号、标题和页码，一般至少设置两级目录</w:t>
            </w:r>
          </w:p>
        </w:tc>
        <w:tc>
          <w:tcPr>
            <w:tcW w:w="1276" w:type="dxa"/>
            <w:vAlign w:val="center"/>
          </w:tcPr>
          <w:p w:rsidR="00430C85" w:rsidRDefault="00B5740B">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567" w:type="dxa"/>
            <w:vAlign w:val="center"/>
          </w:tcPr>
          <w:p w:rsidR="00430C85" w:rsidRDefault="00AB1726" w:rsidP="004017CA">
            <w:pPr>
              <w:keepNext/>
              <w:keepLines/>
              <w:adjustRightInd w:val="0"/>
              <w:snapToGrid w:val="0"/>
              <w:jc w:val="center"/>
              <w:rPr>
                <w:rFonts w:ascii="宋体" w:eastAsia="宋体" w:hAnsi="宋体"/>
                <w:sz w:val="21"/>
                <w:szCs w:val="21"/>
              </w:rPr>
            </w:pPr>
            <w:r>
              <w:rPr>
                <w:rFonts w:ascii="宋体" w:eastAsia="宋体" w:hAnsi="宋体"/>
                <w:sz w:val="21"/>
                <w:szCs w:val="21"/>
              </w:rPr>
              <w:t>1</w:t>
            </w:r>
          </w:p>
        </w:tc>
        <w:tc>
          <w:tcPr>
            <w:tcW w:w="709" w:type="dxa"/>
            <w:gridSpan w:val="2"/>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预案版本号指为便于索引、回溯而在发布时赋予预案的标识号，企业可以按照内部技术文件版本</w:t>
            </w:r>
            <w:proofErr w:type="gramStart"/>
            <w:r>
              <w:rPr>
                <w:rFonts w:ascii="宋体" w:eastAsia="宋体" w:hAnsi="宋体" w:hint="eastAsia"/>
                <w:sz w:val="21"/>
                <w:szCs w:val="21"/>
              </w:rPr>
              <w:t>号管理</w:t>
            </w:r>
            <w:proofErr w:type="gramEnd"/>
            <w:r>
              <w:rPr>
                <w:rFonts w:ascii="宋体" w:eastAsia="宋体" w:hAnsi="宋体" w:hint="eastAsia"/>
                <w:sz w:val="21"/>
                <w:szCs w:val="21"/>
              </w:rPr>
              <w:t>要求执行；</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预案各章节可以有多级标题，但在目录中至少列出两级标题，便于查找</w:t>
            </w:r>
          </w:p>
        </w:tc>
      </w:tr>
      <w:tr w:rsidR="00430C85" w:rsidTr="004017CA">
        <w:trPr>
          <w:trHeight w:val="1951"/>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结构</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vertAlign w:val="superscript"/>
              </w:rPr>
              <w:t>a</w:t>
            </w:r>
          </w:p>
        </w:tc>
        <w:tc>
          <w:tcPr>
            <w:tcW w:w="4819"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结构完整，格式规范</w:t>
            </w:r>
          </w:p>
        </w:tc>
        <w:tc>
          <w:tcPr>
            <w:tcW w:w="1276" w:type="dxa"/>
            <w:vAlign w:val="center"/>
          </w:tcPr>
          <w:p w:rsidR="00430C85" w:rsidRDefault="00B5740B">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567" w:type="dxa"/>
            <w:vAlign w:val="center"/>
          </w:tcPr>
          <w:p w:rsidR="00430C85" w:rsidRDefault="00AB1726" w:rsidP="004017CA">
            <w:pPr>
              <w:keepNext/>
              <w:keepLines/>
              <w:adjustRightInd w:val="0"/>
              <w:snapToGrid w:val="0"/>
              <w:jc w:val="center"/>
              <w:rPr>
                <w:rFonts w:ascii="宋体" w:eastAsia="宋体" w:hAnsi="宋体"/>
                <w:sz w:val="21"/>
                <w:szCs w:val="21"/>
              </w:rPr>
            </w:pPr>
            <w:r>
              <w:rPr>
                <w:rFonts w:ascii="宋体" w:eastAsia="宋体" w:hAnsi="宋体"/>
                <w:sz w:val="21"/>
                <w:szCs w:val="21"/>
              </w:rPr>
              <w:t>1</w:t>
            </w:r>
          </w:p>
        </w:tc>
        <w:tc>
          <w:tcPr>
            <w:tcW w:w="709" w:type="dxa"/>
            <w:gridSpan w:val="2"/>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结构完整指预案文件布局合理、层次分明，无错漏章节、段落；正文对附件的引用、说明等，与附件索引、附件一致；</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格式规范指预案文件符合企业内部公文格式标准，或文件字体、字号、版式、层次等遵循一定的规范</w:t>
            </w:r>
          </w:p>
        </w:tc>
      </w:tr>
      <w:tr w:rsidR="00430C85" w:rsidTr="004017CA">
        <w:trPr>
          <w:trHeight w:val="2803"/>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行文</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vertAlign w:val="superscript"/>
              </w:rPr>
              <w:t>a</w:t>
            </w:r>
          </w:p>
        </w:tc>
        <w:tc>
          <w:tcPr>
            <w:tcW w:w="4819"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文字准确，语言通顺，内容简明</w:t>
            </w:r>
          </w:p>
        </w:tc>
        <w:tc>
          <w:tcPr>
            <w:tcW w:w="1276" w:type="dxa"/>
            <w:vAlign w:val="center"/>
          </w:tcPr>
          <w:p w:rsidR="00430C85" w:rsidRDefault="00B5740B">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567" w:type="dxa"/>
            <w:vAlign w:val="center"/>
          </w:tcPr>
          <w:p w:rsidR="00430C85" w:rsidRDefault="00AB1726" w:rsidP="004017CA">
            <w:pPr>
              <w:keepNext/>
              <w:keepLines/>
              <w:adjustRightInd w:val="0"/>
              <w:snapToGrid w:val="0"/>
              <w:jc w:val="center"/>
              <w:rPr>
                <w:rFonts w:ascii="宋体" w:eastAsia="宋体" w:hAnsi="宋体"/>
                <w:sz w:val="21"/>
                <w:szCs w:val="21"/>
              </w:rPr>
            </w:pPr>
            <w:r>
              <w:rPr>
                <w:rFonts w:ascii="宋体" w:eastAsia="宋体" w:hAnsi="宋体"/>
                <w:sz w:val="21"/>
                <w:szCs w:val="21"/>
              </w:rPr>
              <w:t>1</w:t>
            </w:r>
          </w:p>
        </w:tc>
        <w:tc>
          <w:tcPr>
            <w:tcW w:w="709" w:type="dxa"/>
            <w:gridSpan w:val="2"/>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文字准确是指无明显错别字、多字、漏字、语句错误、数据错误、时间错误等现象；</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语言通顺是指语言规范、连贯、易懂，合乎事理逻辑，关键内容不会产生歧义等；</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内容简明是指环境应急预案、环境风险评估报告、环境应急资源调查报告独立成文，预案正文和附件内容分配合理，应对措施等重点信息容易找到，内容上无简单重复、大量互相引用等现象</w:t>
            </w:r>
          </w:p>
        </w:tc>
      </w:tr>
      <w:tr w:rsidR="00430C85" w:rsidTr="004017CA">
        <w:trPr>
          <w:trHeight w:val="497"/>
          <w:jc w:val="center"/>
        </w:trPr>
        <w:tc>
          <w:tcPr>
            <w:tcW w:w="13781" w:type="dxa"/>
            <w:gridSpan w:val="8"/>
            <w:vAlign w:val="center"/>
          </w:tcPr>
          <w:p w:rsidR="00430C85" w:rsidRDefault="00B073E1" w:rsidP="004017CA">
            <w:pPr>
              <w:adjustRightInd w:val="0"/>
              <w:snapToGrid w:val="0"/>
              <w:jc w:val="center"/>
              <w:rPr>
                <w:rFonts w:ascii="黑体" w:eastAsia="黑体" w:hAnsi="黑体"/>
                <w:sz w:val="21"/>
                <w:szCs w:val="21"/>
                <w:highlight w:val="yellow"/>
              </w:rPr>
            </w:pPr>
            <w:r>
              <w:rPr>
                <w:rFonts w:ascii="黑体" w:eastAsia="黑体" w:hAnsi="黑体" w:hint="eastAsia"/>
                <w:sz w:val="21"/>
                <w:szCs w:val="21"/>
              </w:rPr>
              <w:lastRenderedPageBreak/>
              <w:t>环境应急预案编制说明</w:t>
            </w:r>
          </w:p>
        </w:tc>
      </w:tr>
      <w:tr w:rsidR="00430C85" w:rsidTr="004017CA">
        <w:trPr>
          <w:trHeight w:val="603"/>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过程说明</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vertAlign w:val="superscript"/>
              </w:rPr>
              <w:t>a</w:t>
            </w:r>
          </w:p>
        </w:tc>
        <w:tc>
          <w:tcPr>
            <w:tcW w:w="4819"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说清预案编修过程</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highlight w:val="yellow"/>
              </w:rPr>
            </w:pPr>
            <w:r>
              <w:rPr>
                <w:rFonts w:ascii="宋体" w:eastAsia="宋体" w:hAnsi="宋体" w:hint="eastAsia"/>
                <w:sz w:val="21"/>
                <w:szCs w:val="21"/>
              </w:rPr>
              <w:t>□不符合</w:t>
            </w:r>
          </w:p>
        </w:tc>
        <w:tc>
          <w:tcPr>
            <w:tcW w:w="567" w:type="dxa"/>
            <w:vAlign w:val="center"/>
          </w:tcPr>
          <w:p w:rsidR="00430C85" w:rsidRPr="00234D3B" w:rsidRDefault="00AB1726" w:rsidP="004017CA">
            <w:pPr>
              <w:keepNext/>
              <w:keepLines/>
              <w:adjustRightInd w:val="0"/>
              <w:snapToGrid w:val="0"/>
              <w:jc w:val="center"/>
              <w:rPr>
                <w:rFonts w:ascii="宋体" w:eastAsia="宋体" w:hAnsi="宋体"/>
                <w:sz w:val="21"/>
                <w:szCs w:val="21"/>
              </w:rPr>
            </w:pPr>
            <w:r>
              <w:rPr>
                <w:rFonts w:ascii="宋体" w:eastAsia="宋体" w:hAnsi="宋体"/>
                <w:sz w:val="21"/>
                <w:szCs w:val="21"/>
              </w:rPr>
              <w:t>1</w:t>
            </w:r>
          </w:p>
        </w:tc>
        <w:tc>
          <w:tcPr>
            <w:tcW w:w="709" w:type="dxa"/>
            <w:gridSpan w:val="2"/>
            <w:vAlign w:val="center"/>
          </w:tcPr>
          <w:p w:rsidR="00430C85" w:rsidRDefault="00430C85" w:rsidP="004017CA">
            <w:pPr>
              <w:keepNext/>
              <w:keepLines/>
              <w:adjustRightInd w:val="0"/>
              <w:snapToGrid w:val="0"/>
              <w:jc w:val="center"/>
              <w:rPr>
                <w:rFonts w:ascii="宋体" w:eastAsia="宋体" w:hAnsi="宋体"/>
                <w:sz w:val="21"/>
                <w:szCs w:val="21"/>
                <w:highlight w:val="yellow"/>
              </w:rPr>
            </w:pPr>
          </w:p>
        </w:tc>
        <w:tc>
          <w:tcPr>
            <w:tcW w:w="4850" w:type="dxa"/>
            <w:vAlign w:val="center"/>
          </w:tcPr>
          <w:p w:rsidR="00430C85" w:rsidRDefault="00B073E1">
            <w:pPr>
              <w:adjustRightInd w:val="0"/>
              <w:snapToGrid w:val="0"/>
              <w:rPr>
                <w:rFonts w:ascii="宋体" w:eastAsia="宋体" w:hAnsi="宋体"/>
                <w:sz w:val="21"/>
                <w:szCs w:val="21"/>
                <w:highlight w:val="yellow"/>
              </w:rPr>
            </w:pPr>
            <w:r>
              <w:rPr>
                <w:rFonts w:ascii="宋体" w:eastAsia="宋体" w:hAnsi="宋体" w:hint="eastAsia"/>
                <w:sz w:val="21"/>
                <w:szCs w:val="21"/>
              </w:rPr>
              <w:t>编制过程主要包括成立环境应急预案编制工作组、开展环境风险评估和环境应急资源调查、征求关键岗位员工和可能受影响的居民、单位代表的意见、组织对预案内容进行推演等</w:t>
            </w:r>
          </w:p>
        </w:tc>
      </w:tr>
      <w:tr w:rsidR="00430C85" w:rsidTr="004017CA">
        <w:trPr>
          <w:trHeight w:val="603"/>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问题说明</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vertAlign w:val="superscript"/>
              </w:rPr>
              <w:t>a</w:t>
            </w:r>
          </w:p>
        </w:tc>
        <w:tc>
          <w:tcPr>
            <w:tcW w:w="4819" w:type="dxa"/>
            <w:vAlign w:val="center"/>
          </w:tcPr>
          <w:p w:rsidR="00430C85" w:rsidRDefault="00B073E1">
            <w:pPr>
              <w:adjustRightInd w:val="0"/>
              <w:snapToGrid w:val="0"/>
              <w:rPr>
                <w:rFonts w:ascii="宋体" w:eastAsia="宋体" w:hAnsi="宋体"/>
                <w:spacing w:val="-2"/>
                <w:sz w:val="21"/>
                <w:szCs w:val="21"/>
              </w:rPr>
            </w:pPr>
            <w:r>
              <w:rPr>
                <w:rFonts w:ascii="宋体" w:eastAsia="宋体" w:hAnsi="宋体" w:hint="eastAsia"/>
                <w:spacing w:val="-2"/>
                <w:sz w:val="21"/>
                <w:szCs w:val="21"/>
              </w:rPr>
              <w:t>说明意见建议及采纳情况、演练暴露问题及解决措施</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567" w:type="dxa"/>
            <w:vAlign w:val="center"/>
          </w:tcPr>
          <w:p w:rsidR="00430C85" w:rsidRDefault="00AB1726" w:rsidP="004017CA">
            <w:pPr>
              <w:keepNext/>
              <w:keepLines/>
              <w:adjustRightInd w:val="0"/>
              <w:snapToGrid w:val="0"/>
              <w:jc w:val="center"/>
              <w:rPr>
                <w:rFonts w:ascii="宋体" w:eastAsia="宋体" w:hAnsi="宋体"/>
                <w:sz w:val="21"/>
                <w:szCs w:val="21"/>
              </w:rPr>
            </w:pPr>
            <w:r>
              <w:rPr>
                <w:rFonts w:ascii="宋体" w:eastAsia="宋体" w:hAnsi="宋体"/>
                <w:sz w:val="21"/>
                <w:szCs w:val="21"/>
              </w:rPr>
              <w:t>1</w:t>
            </w:r>
          </w:p>
        </w:tc>
        <w:tc>
          <w:tcPr>
            <w:tcW w:w="709" w:type="dxa"/>
            <w:gridSpan w:val="2"/>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一般应有意见建议清单，并说明采纳情况及未采纳理由；演练（一般为检验性的桌面推演）暴露问题清单及解决措施，并体现在预案中</w:t>
            </w:r>
          </w:p>
        </w:tc>
      </w:tr>
      <w:tr w:rsidR="00430C85" w:rsidTr="004017CA">
        <w:trPr>
          <w:trHeight w:val="441"/>
          <w:jc w:val="center"/>
        </w:trPr>
        <w:tc>
          <w:tcPr>
            <w:tcW w:w="13781" w:type="dxa"/>
            <w:gridSpan w:val="8"/>
            <w:vAlign w:val="center"/>
          </w:tcPr>
          <w:p w:rsidR="00430C85" w:rsidRDefault="00B073E1" w:rsidP="004017CA">
            <w:pPr>
              <w:adjustRightInd w:val="0"/>
              <w:snapToGrid w:val="0"/>
              <w:jc w:val="center"/>
              <w:rPr>
                <w:rFonts w:ascii="黑体" w:eastAsia="黑体" w:hAnsi="黑体"/>
                <w:sz w:val="21"/>
                <w:szCs w:val="21"/>
              </w:rPr>
            </w:pPr>
            <w:r>
              <w:rPr>
                <w:rFonts w:ascii="黑体" w:eastAsia="黑体" w:hAnsi="黑体" w:hint="eastAsia"/>
                <w:sz w:val="21"/>
                <w:szCs w:val="21"/>
              </w:rPr>
              <w:t>环境应急预案文本</w:t>
            </w:r>
          </w:p>
        </w:tc>
      </w:tr>
      <w:tr w:rsidR="00430C85" w:rsidTr="004017CA">
        <w:trPr>
          <w:trHeight w:val="330"/>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编制目的</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6</w:t>
            </w:r>
          </w:p>
        </w:tc>
        <w:tc>
          <w:tcPr>
            <w:tcW w:w="4819" w:type="dxa"/>
            <w:vAlign w:val="center"/>
          </w:tcPr>
          <w:p w:rsidR="00430C85" w:rsidRDefault="00B073E1">
            <w:pPr>
              <w:adjustRightInd w:val="0"/>
              <w:snapToGrid w:val="0"/>
              <w:jc w:val="left"/>
              <w:rPr>
                <w:rFonts w:ascii="宋体" w:eastAsia="宋体" w:hAnsi="宋体"/>
                <w:spacing w:val="-2"/>
                <w:sz w:val="21"/>
                <w:szCs w:val="21"/>
              </w:rPr>
            </w:pPr>
            <w:r>
              <w:rPr>
                <w:rFonts w:ascii="宋体" w:eastAsia="宋体" w:hAnsi="宋体" w:hint="eastAsia"/>
                <w:spacing w:val="-2"/>
                <w:sz w:val="21"/>
                <w:szCs w:val="21"/>
              </w:rPr>
              <w:t>体现：规范事发后的应对工作，提高事件应对能力，避免或减轻事件影响，加强企业与政府应对工作衔接</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Merge w:val="restart"/>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此三项为预案的总纲。</w:t>
            </w:r>
          </w:p>
          <w:p w:rsidR="00430C85" w:rsidRDefault="00430C85">
            <w:pPr>
              <w:adjustRightInd w:val="0"/>
              <w:snapToGrid w:val="0"/>
              <w:rPr>
                <w:rFonts w:ascii="宋体" w:eastAsia="宋体" w:hAnsi="宋体"/>
                <w:sz w:val="21"/>
                <w:szCs w:val="21"/>
              </w:rPr>
            </w:pP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关于“规范事发后的应对工作”，《突发事件应急预案管理办法》强调应急预案重在“应对”，适当向前延伸至“预警”，向后延伸至“恢复”。关于“加强企业与政府应对衔接”，根据备案管理办法，实行企业环境应急预案备案管理，其中一个重要作用是环保部门收集信息，服务于政府环境应急预案编修；另外，由于权限、职责、工作范围的不同，企业环境应急预案应该在指挥、措施、程序等方面留有“接口”，确保与政府预案有机衔接。</w:t>
            </w:r>
          </w:p>
          <w:p w:rsidR="00430C85" w:rsidRDefault="00430C85">
            <w:pPr>
              <w:adjustRightInd w:val="0"/>
              <w:snapToGrid w:val="0"/>
              <w:rPr>
                <w:rFonts w:ascii="宋体" w:eastAsia="宋体" w:hAnsi="宋体"/>
                <w:sz w:val="21"/>
                <w:szCs w:val="21"/>
              </w:rPr>
            </w:pP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适用主体，指组织实施预案的责任单位；地理或管理范围，如某公司内、某公司及周边环境敏感区域内；事件类别，如生产废水事故排放、化学品泄漏、燃烧或爆炸次生环境事件等；工作内容，可包括预警、处置、监测等。</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坚持环境优先，是因为环境一旦受到污染，修复难度大且成本高；应急工作与岗位职责相结合，强调应急</w:t>
            </w:r>
            <w:r>
              <w:rPr>
                <w:rFonts w:ascii="宋体" w:eastAsia="宋体" w:hAnsi="宋体" w:hint="eastAsia"/>
                <w:sz w:val="21"/>
                <w:szCs w:val="21"/>
              </w:rPr>
              <w:lastRenderedPageBreak/>
              <w:t>任务要细化落实到具体工作岗位</w:t>
            </w:r>
          </w:p>
        </w:tc>
      </w:tr>
      <w:tr w:rsidR="00430C85" w:rsidTr="004017CA">
        <w:trPr>
          <w:trHeight w:val="907"/>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适用范围</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7</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明确：预案适用的主体、地理或管理范围、事件类别、工作内容</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Merge/>
          </w:tcPr>
          <w:p w:rsidR="00430C85" w:rsidRDefault="00430C85">
            <w:pPr>
              <w:adjustRightInd w:val="0"/>
              <w:snapToGrid w:val="0"/>
              <w:rPr>
                <w:rFonts w:ascii="宋体" w:eastAsia="宋体" w:hAnsi="宋体"/>
                <w:sz w:val="21"/>
                <w:szCs w:val="21"/>
              </w:rPr>
            </w:pPr>
          </w:p>
        </w:tc>
      </w:tr>
      <w:tr w:rsidR="00430C85" w:rsidTr="004017CA">
        <w:trPr>
          <w:trHeight w:val="907"/>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工作原则</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8</w:t>
            </w:r>
          </w:p>
        </w:tc>
        <w:tc>
          <w:tcPr>
            <w:tcW w:w="4819" w:type="dxa"/>
            <w:vAlign w:val="center"/>
          </w:tcPr>
          <w:p w:rsidR="00430C85" w:rsidRDefault="00B073E1">
            <w:pPr>
              <w:adjustRightInd w:val="0"/>
              <w:snapToGrid w:val="0"/>
              <w:jc w:val="left"/>
              <w:rPr>
                <w:rFonts w:ascii="宋体" w:eastAsia="宋体" w:hAnsi="宋体"/>
                <w:spacing w:val="-2"/>
                <w:sz w:val="21"/>
                <w:szCs w:val="21"/>
              </w:rPr>
            </w:pPr>
            <w:r>
              <w:rPr>
                <w:rFonts w:ascii="宋体" w:eastAsia="宋体" w:hAnsi="宋体" w:hint="eastAsia"/>
                <w:spacing w:val="-2"/>
                <w:sz w:val="21"/>
                <w:szCs w:val="21"/>
              </w:rPr>
              <w:t>体现：符合国家有关规定和要求，结合本单位实际；救人第一、环境优先；先期处置、防止危害扩大；快速响应、科学应对；应急工作与岗位职责相结合等</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Merge/>
          </w:tcPr>
          <w:p w:rsidR="00430C85" w:rsidRDefault="00430C85">
            <w:pPr>
              <w:adjustRightInd w:val="0"/>
              <w:snapToGrid w:val="0"/>
              <w:rPr>
                <w:rFonts w:ascii="宋体" w:eastAsia="宋体" w:hAnsi="宋体"/>
                <w:sz w:val="21"/>
                <w:szCs w:val="21"/>
              </w:rPr>
            </w:pPr>
          </w:p>
        </w:tc>
      </w:tr>
      <w:tr w:rsidR="00430C85" w:rsidTr="004017CA">
        <w:trPr>
          <w:trHeight w:val="3103"/>
          <w:jc w:val="center"/>
        </w:trPr>
        <w:tc>
          <w:tcPr>
            <w:tcW w:w="1134"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lastRenderedPageBreak/>
              <w:t>应急预案</w:t>
            </w:r>
          </w:p>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体系</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9</w:t>
            </w:r>
            <w:r>
              <w:rPr>
                <w:rFonts w:ascii="宋体" w:eastAsia="宋体" w:hAnsi="宋体" w:hint="eastAsia"/>
                <w:sz w:val="21"/>
                <w:szCs w:val="21"/>
                <w:vertAlign w:val="superscript"/>
              </w:rPr>
              <w:t>b</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以预案关系图的形式，说明本预案的组成及其组成之间的关系、与生产安全事故预案等其他预案的衔接关系、与地方人民政府环境应急预案的衔接关系，辅以必要的重点内容说明</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1</w:t>
            </w:r>
            <w:r w:rsidR="00AB1726">
              <w:rPr>
                <w:rFonts w:ascii="宋体" w:eastAsia="宋体" w:hAnsi="宋体"/>
                <w:sz w:val="21"/>
                <w:szCs w:val="21"/>
              </w:rPr>
              <w:t>.5</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Merge w:val="restart"/>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本项目的三项指标，主要考察企业在环境应急预案编制过程中能否清晰把握预案体系。具体衔接方式、内容在应对流程和措施等部分体现。</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有的企业环境应急预案包括综合预案、专项预案、现场预案或其他组成，应说明这些组成之间的衔接关系，确保各个组成清晰界定、有机衔接。企业环境应急预案一般应以现场处置预案为主，有针对性地提出各类事件情景下的污染防控措施，明确责任人员、工作流程、具体措施，落实到应急处置卡上。确需分类编制的，综合预案侧重明确应对原则、组织机构与职责、基本程序与要求，说明预案体系构成；专项预案侧重针对某一类事件，明确应急程序和处置措施。如不涉及以上情况，可以说明预案的主体框架。</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环境应急预案定位于控制并减轻、消除污染，与企业内部生产安全事故预案等其他预案清晰界定、相互支持。</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企业突发环境事件一般会对外环境造成污染，其预案应与所在地政府环境应急预案协调一致、相互配合。</w:t>
            </w:r>
          </w:p>
        </w:tc>
      </w:tr>
      <w:tr w:rsidR="00430C85" w:rsidTr="004017CA">
        <w:trPr>
          <w:trHeight w:val="907"/>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10</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预案体系构成合理，以现场处置预案为主，确有必要编制综合预案、专项预案，且定位清晰、有机衔接</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1</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Merge/>
          </w:tcPr>
          <w:p w:rsidR="00430C85" w:rsidRDefault="00430C85">
            <w:pPr>
              <w:adjustRightInd w:val="0"/>
              <w:snapToGrid w:val="0"/>
              <w:rPr>
                <w:rFonts w:ascii="宋体" w:eastAsia="宋体" w:hAnsi="宋体"/>
                <w:sz w:val="21"/>
                <w:szCs w:val="21"/>
              </w:rPr>
            </w:pPr>
          </w:p>
        </w:tc>
      </w:tr>
      <w:tr w:rsidR="00430C85" w:rsidTr="004017CA">
        <w:trPr>
          <w:trHeight w:val="907"/>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11</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预案整体定位清晰，与内部生产安全事故预案等其他预案清晰界定、相互支持，与地方人民政府环境应急预案有机衔接</w:t>
            </w:r>
          </w:p>
        </w:tc>
        <w:tc>
          <w:tcPr>
            <w:tcW w:w="1276" w:type="dxa"/>
            <w:vAlign w:val="center"/>
          </w:tcPr>
          <w:p w:rsidR="00430C85" w:rsidRDefault="00074673">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074673">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074673" w:rsidP="004017CA">
            <w:pPr>
              <w:adjustRightInd w:val="0"/>
              <w:snapToGrid w:val="0"/>
              <w:jc w:val="center"/>
              <w:rPr>
                <w:rFonts w:ascii="宋体" w:eastAsia="宋体" w:hAnsi="宋体"/>
                <w:sz w:val="21"/>
                <w:szCs w:val="21"/>
              </w:rPr>
            </w:pPr>
            <w:r>
              <w:rPr>
                <w:rFonts w:ascii="宋体" w:eastAsia="宋体" w:hAnsi="宋体"/>
                <w:sz w:val="21"/>
                <w:szCs w:val="21"/>
              </w:rPr>
              <w:t>1</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Merge/>
          </w:tcPr>
          <w:p w:rsidR="00430C85" w:rsidRDefault="00430C85">
            <w:pPr>
              <w:adjustRightInd w:val="0"/>
              <w:snapToGrid w:val="0"/>
              <w:rPr>
                <w:rFonts w:ascii="宋体" w:eastAsia="宋体" w:hAnsi="宋体"/>
                <w:sz w:val="21"/>
                <w:szCs w:val="21"/>
              </w:rPr>
            </w:pPr>
          </w:p>
        </w:tc>
      </w:tr>
      <w:tr w:rsidR="00430C85" w:rsidTr="004017CA">
        <w:trPr>
          <w:trHeight w:val="1531"/>
          <w:jc w:val="center"/>
        </w:trPr>
        <w:tc>
          <w:tcPr>
            <w:tcW w:w="1134" w:type="dxa"/>
            <w:vMerge w:val="restart"/>
            <w:shd w:val="clear" w:color="auto" w:fill="auto"/>
            <w:vAlign w:val="center"/>
          </w:tcPr>
          <w:p w:rsidR="00430C85" w:rsidRDefault="00B073E1">
            <w:pPr>
              <w:adjustRightInd w:val="0"/>
              <w:snapToGrid w:val="0"/>
              <w:jc w:val="center"/>
              <w:rPr>
                <w:rFonts w:ascii="宋体" w:eastAsia="宋体" w:hAnsi="宋体"/>
                <w:color w:val="000000"/>
                <w:kern w:val="0"/>
                <w:sz w:val="21"/>
                <w:szCs w:val="21"/>
                <w:lang w:val="zh-CN"/>
              </w:rPr>
            </w:pPr>
            <w:r>
              <w:rPr>
                <w:rFonts w:ascii="宋体" w:eastAsia="宋体" w:hAnsi="宋体" w:hint="eastAsia"/>
                <w:sz w:val="21"/>
                <w:szCs w:val="21"/>
              </w:rPr>
              <w:t>组织指挥机制</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color w:val="000000"/>
                <w:sz w:val="21"/>
                <w:szCs w:val="21"/>
              </w:rPr>
            </w:pPr>
            <w:r>
              <w:rPr>
                <w:rFonts w:ascii="宋体" w:eastAsia="宋体" w:hAnsi="宋体" w:hint="eastAsia"/>
                <w:color w:val="000000"/>
                <w:sz w:val="21"/>
                <w:szCs w:val="21"/>
              </w:rPr>
              <w:t>12</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以应急组织体系结构图、应急响应流程图的形式，说明组织体系构成、应急指挥运行机制，配有应急队伍成员名单和联系方式表</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以图表形式，说明应急组织体系构成、运行机制、联系人及联系方式</w:t>
            </w:r>
          </w:p>
        </w:tc>
      </w:tr>
      <w:tr w:rsidR="00430C85" w:rsidTr="004017CA">
        <w:trPr>
          <w:trHeight w:val="1531"/>
          <w:jc w:val="center"/>
        </w:trPr>
        <w:tc>
          <w:tcPr>
            <w:tcW w:w="1134" w:type="dxa"/>
            <w:vMerge/>
            <w:shd w:val="clear" w:color="auto" w:fill="auto"/>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color w:val="000000"/>
                <w:sz w:val="21"/>
                <w:szCs w:val="21"/>
              </w:rPr>
            </w:pPr>
            <w:r>
              <w:rPr>
                <w:rFonts w:ascii="宋体" w:eastAsia="宋体" w:hAnsi="宋体" w:hint="eastAsia"/>
                <w:color w:val="000000"/>
                <w:sz w:val="21"/>
                <w:szCs w:val="21"/>
              </w:rPr>
              <w:t>13</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明确组织体系的构成及其职责。一般包括应急指挥部及其办事机构、现场处置组、环境应急监测组、应急保障组以及其他必要的行动组</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企业根据突发环境事件应急工作特点，建立由负责人和成员组成的、工作职责明确的环境应急组织指挥机构。注意与企业突发事件应急预案以及生产安全等预案中组织指挥体系的衔接</w:t>
            </w:r>
          </w:p>
        </w:tc>
      </w:tr>
      <w:tr w:rsidR="00430C85" w:rsidTr="004017CA">
        <w:trPr>
          <w:trHeight w:val="1295"/>
          <w:jc w:val="center"/>
        </w:trPr>
        <w:tc>
          <w:tcPr>
            <w:tcW w:w="1134" w:type="dxa"/>
            <w:vMerge w:val="restart"/>
            <w:shd w:val="clear" w:color="auto" w:fill="auto"/>
            <w:vAlign w:val="center"/>
          </w:tcPr>
          <w:p w:rsidR="00430C85" w:rsidRDefault="00B073E1">
            <w:pPr>
              <w:keepNext/>
              <w:keepLines/>
              <w:adjustRightInd w:val="0"/>
              <w:snapToGrid w:val="0"/>
              <w:jc w:val="center"/>
              <w:rPr>
                <w:rFonts w:ascii="宋体" w:eastAsia="宋体" w:hAnsi="宋体"/>
                <w:sz w:val="21"/>
                <w:szCs w:val="21"/>
              </w:rPr>
            </w:pPr>
            <w:r>
              <w:rPr>
                <w:rFonts w:ascii="宋体" w:eastAsia="宋体" w:hAnsi="宋体" w:hint="eastAsia"/>
                <w:sz w:val="21"/>
                <w:szCs w:val="21"/>
              </w:rPr>
              <w:t>组织指挥机制</w:t>
            </w: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14</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明确应急状态下指挥运行机制，建立统一的应急指挥、协调和决策程序</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指挥运行机制，指的是总指挥与各行动小组相互作用的程序和方式，能够对突发环境事件状态进行评估，迅速有效进行应急响应决策，指挥和协调各行动小组活动，合理高效地调配和使用应急资源</w:t>
            </w:r>
          </w:p>
        </w:tc>
      </w:tr>
      <w:tr w:rsidR="00430C85" w:rsidTr="004017CA">
        <w:trPr>
          <w:trHeight w:val="1155"/>
          <w:jc w:val="center"/>
        </w:trPr>
        <w:tc>
          <w:tcPr>
            <w:tcW w:w="1134" w:type="dxa"/>
            <w:vMerge/>
            <w:shd w:val="clear" w:color="auto" w:fill="auto"/>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15</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根据突发环境事件的危害程度、影响范围、周边环境敏感点、企业应急响应能力等，建立分级应急响应机制，明确不同应急响应级别对应的指挥权限</w:t>
            </w:r>
          </w:p>
        </w:tc>
        <w:tc>
          <w:tcPr>
            <w:tcW w:w="1276" w:type="dxa"/>
            <w:vAlign w:val="center"/>
          </w:tcPr>
          <w:p w:rsidR="00430C85" w:rsidRDefault="00DF081F">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DF081F">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DF081F" w:rsidP="004017CA">
            <w:pPr>
              <w:keepNext/>
              <w:keepLines/>
              <w:adjustRightInd w:val="0"/>
              <w:snapToGrid w:val="0"/>
              <w:jc w:val="center"/>
              <w:rPr>
                <w:rFonts w:ascii="宋体" w:eastAsia="宋体" w:hAnsi="宋体"/>
                <w:sz w:val="21"/>
                <w:szCs w:val="21"/>
              </w:rPr>
            </w:pPr>
            <w:r>
              <w:rPr>
                <w:rFonts w:ascii="宋体" w:eastAsia="宋体" w:hAnsi="宋体"/>
                <w:sz w:val="21"/>
                <w:szCs w:val="21"/>
              </w:rPr>
              <w:t>1</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例如有的企业将环境应急分为车间级、企业级、社会级，明确相应的指挥权限：车间负责人、企业负责人、接受当地政府统一指挥</w:t>
            </w:r>
          </w:p>
        </w:tc>
      </w:tr>
      <w:tr w:rsidR="00430C85" w:rsidTr="004017CA">
        <w:trPr>
          <w:trHeight w:val="1030"/>
          <w:jc w:val="center"/>
        </w:trPr>
        <w:tc>
          <w:tcPr>
            <w:tcW w:w="1134" w:type="dxa"/>
            <w:vMerge/>
            <w:shd w:val="clear" w:color="auto" w:fill="auto"/>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16</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说明企业与政府及其有关部门之间的关系。明确政府及其有关部门介入后，企业内部指挥协调、配合处置、参与应急保障等工作任务和责任人</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sz w:val="21"/>
                <w:szCs w:val="21"/>
              </w:rPr>
              <w:t>1</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例如政府及其有关部门介入后，环境应急指挥权的移交及企业内部的调整</w:t>
            </w:r>
          </w:p>
        </w:tc>
      </w:tr>
      <w:tr w:rsidR="00430C85" w:rsidTr="004017CA">
        <w:trPr>
          <w:trHeight w:val="1154"/>
          <w:jc w:val="center"/>
        </w:trPr>
        <w:tc>
          <w:tcPr>
            <w:tcW w:w="1134"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监测预警</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17</w:t>
            </w:r>
          </w:p>
        </w:tc>
        <w:tc>
          <w:tcPr>
            <w:tcW w:w="4819"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建立企业内部监控预警方案</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根据</w:t>
            </w:r>
            <w:r>
              <w:rPr>
                <w:rFonts w:ascii="宋体" w:eastAsia="宋体" w:hAnsi="宋体"/>
                <w:sz w:val="21"/>
                <w:szCs w:val="21"/>
              </w:rPr>
              <w:t>企业</w:t>
            </w:r>
            <w:r>
              <w:rPr>
                <w:rFonts w:ascii="宋体" w:eastAsia="宋体" w:hAnsi="宋体" w:hint="eastAsia"/>
                <w:sz w:val="21"/>
                <w:szCs w:val="21"/>
              </w:rPr>
              <w:t>可能面临事件情景</w:t>
            </w:r>
            <w:r>
              <w:rPr>
                <w:rFonts w:ascii="宋体" w:eastAsia="宋体" w:hAnsi="宋体"/>
                <w:sz w:val="21"/>
                <w:szCs w:val="21"/>
              </w:rPr>
              <w:t>，</w:t>
            </w:r>
            <w:r>
              <w:rPr>
                <w:rFonts w:ascii="宋体" w:eastAsia="宋体" w:hAnsi="宋体" w:hint="eastAsia"/>
                <w:sz w:val="21"/>
                <w:szCs w:val="21"/>
              </w:rPr>
              <w:t>结合事件危害程度、紧急程度和发展态势</w:t>
            </w:r>
            <w:r>
              <w:rPr>
                <w:rFonts w:ascii="宋体" w:eastAsia="宋体" w:hAnsi="宋体"/>
                <w:sz w:val="21"/>
                <w:szCs w:val="21"/>
              </w:rPr>
              <w:t>，</w:t>
            </w:r>
            <w:r>
              <w:rPr>
                <w:rFonts w:ascii="宋体" w:eastAsia="宋体" w:hAnsi="宋体" w:hint="eastAsia"/>
                <w:sz w:val="21"/>
                <w:szCs w:val="21"/>
              </w:rPr>
              <w:t>对企业内部预警级别、预警发布与解除、预警措施进行总体安排</w:t>
            </w:r>
          </w:p>
        </w:tc>
      </w:tr>
      <w:tr w:rsidR="00430C85" w:rsidTr="004017CA">
        <w:trPr>
          <w:trHeight w:val="1406"/>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18</w:t>
            </w:r>
          </w:p>
        </w:tc>
        <w:tc>
          <w:tcPr>
            <w:tcW w:w="4819"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明确监控信息的获得途径和分析</w:t>
            </w:r>
            <w:proofErr w:type="gramStart"/>
            <w:r>
              <w:rPr>
                <w:rFonts w:ascii="宋体" w:eastAsia="宋体" w:hAnsi="宋体" w:hint="eastAsia"/>
                <w:sz w:val="21"/>
                <w:szCs w:val="21"/>
              </w:rPr>
              <w:t>研</w:t>
            </w:r>
            <w:proofErr w:type="gramEnd"/>
            <w:r>
              <w:rPr>
                <w:rFonts w:ascii="宋体" w:eastAsia="宋体" w:hAnsi="宋体" w:hint="eastAsia"/>
                <w:sz w:val="21"/>
                <w:szCs w:val="21"/>
              </w:rPr>
              <w:t>判的方式方法</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监控信息的获得途径，例如极端天气等自然灾害、生产安全事故等事故灾难、相关监控监测信息等；</w:t>
            </w:r>
          </w:p>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分析</w:t>
            </w:r>
            <w:proofErr w:type="gramStart"/>
            <w:r>
              <w:rPr>
                <w:rFonts w:ascii="宋体" w:eastAsia="宋体" w:hAnsi="宋体" w:hint="eastAsia"/>
                <w:sz w:val="21"/>
                <w:szCs w:val="21"/>
              </w:rPr>
              <w:t>研</w:t>
            </w:r>
            <w:proofErr w:type="gramEnd"/>
            <w:r>
              <w:rPr>
                <w:rFonts w:ascii="宋体" w:eastAsia="宋体" w:hAnsi="宋体" w:hint="eastAsia"/>
                <w:sz w:val="21"/>
                <w:szCs w:val="21"/>
              </w:rPr>
              <w:t>判的方式方法，例如根据相关信息和应急能力等，结合企业自身实际进行分析</w:t>
            </w:r>
            <w:proofErr w:type="gramStart"/>
            <w:r>
              <w:rPr>
                <w:rFonts w:ascii="宋体" w:eastAsia="宋体" w:hAnsi="宋体" w:hint="eastAsia"/>
                <w:sz w:val="21"/>
                <w:szCs w:val="21"/>
              </w:rPr>
              <w:t>研</w:t>
            </w:r>
            <w:proofErr w:type="gramEnd"/>
            <w:r>
              <w:rPr>
                <w:rFonts w:ascii="宋体" w:eastAsia="宋体" w:hAnsi="宋体" w:hint="eastAsia"/>
                <w:sz w:val="21"/>
                <w:szCs w:val="21"/>
              </w:rPr>
              <w:t>判</w:t>
            </w:r>
          </w:p>
        </w:tc>
      </w:tr>
      <w:tr w:rsidR="00430C85" w:rsidTr="004017CA">
        <w:trPr>
          <w:trHeight w:val="2090"/>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19</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明确企业内部预警条件，预警等级，预警信息发布、接收、调整、解除程序、发布内容、责任人</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一般根据企业突发环境事件类型情景和自身的应急能力等，结合周边环境情况，确定预警等级，做到早发现、早报告、早发布；</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红色预警一般为企业自身力量难以应对；橙色预警一般为企业需要调集内部绝大部分力量参与应对；黄色、蓝色预警根据企业实际需求确定</w:t>
            </w:r>
          </w:p>
        </w:tc>
      </w:tr>
      <w:tr w:rsidR="00430C85" w:rsidTr="004017CA">
        <w:trPr>
          <w:trHeight w:val="1056"/>
          <w:jc w:val="center"/>
        </w:trPr>
        <w:tc>
          <w:tcPr>
            <w:tcW w:w="1134"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信息报告</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20</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明确企业内部事件信息传递的责任人、程序、时限、方式、内容等，包括向协议应急救援单位传递信息的方式方法</w:t>
            </w:r>
          </w:p>
        </w:tc>
        <w:tc>
          <w:tcPr>
            <w:tcW w:w="1276" w:type="dxa"/>
            <w:vAlign w:val="center"/>
          </w:tcPr>
          <w:p w:rsidR="00430C85" w:rsidRDefault="005833DB">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5833DB">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5833DB"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从事件第一发现人</w:t>
            </w:r>
            <w:proofErr w:type="gramStart"/>
            <w:r>
              <w:rPr>
                <w:rFonts w:ascii="宋体" w:eastAsia="宋体" w:hAnsi="宋体" w:hint="eastAsia"/>
                <w:sz w:val="21"/>
                <w:szCs w:val="21"/>
              </w:rPr>
              <w:t>至事件</w:t>
            </w:r>
            <w:proofErr w:type="gramEnd"/>
            <w:r>
              <w:rPr>
                <w:rFonts w:ascii="宋体" w:eastAsia="宋体" w:hAnsi="宋体" w:hint="eastAsia"/>
                <w:sz w:val="21"/>
                <w:szCs w:val="21"/>
              </w:rPr>
              <w:t>指挥人之间信息传递的方式、方法及内容，内容一般包括事件的时间、地点、涉及物质、简要经过、已造成或者可能造成的污染情况、已采取的措施等</w:t>
            </w:r>
          </w:p>
        </w:tc>
      </w:tr>
      <w:tr w:rsidR="00430C85" w:rsidTr="004017CA">
        <w:trPr>
          <w:trHeight w:val="1134"/>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21</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明确企业向当地人民政府及其环保等部门报告的责任人、程序、时限方式、内容等，辅以信息报告格式规范</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从企业报告决策人、报告负责人到当地人民政府及其环保部门负责人（单位）之间信息传递的方式、方法及内容，内容一般包括企业及周边概况、事件的时间、地点、涉及物质、简要经过、已造成或者可能造成的污染情况、已采取的措施、请求支持的内容等</w:t>
            </w:r>
          </w:p>
        </w:tc>
      </w:tr>
      <w:tr w:rsidR="00430C85" w:rsidTr="004017CA">
        <w:trPr>
          <w:trHeight w:val="1134"/>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22</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明确企业向可能受影响的居民、单位通报的责任人、程序、时限、方式、内容等</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1</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从企业通报决策人、通报负责人到周边居民、单位负责人之间信息传递的方式、方法及内容，内容一般包括事件已造成或者可能造成的污染情况、居民或单位避险措施等</w:t>
            </w:r>
          </w:p>
        </w:tc>
      </w:tr>
      <w:tr w:rsidR="00430C85" w:rsidTr="004017CA">
        <w:trPr>
          <w:trHeight w:val="1134"/>
          <w:jc w:val="center"/>
        </w:trPr>
        <w:tc>
          <w:tcPr>
            <w:tcW w:w="1134"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应急监测</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23</w:t>
            </w:r>
            <w:r>
              <w:rPr>
                <w:rFonts w:ascii="宋体" w:eastAsia="宋体" w:hAnsi="宋体" w:hint="eastAsia"/>
                <w:sz w:val="21"/>
                <w:szCs w:val="21"/>
                <w:vertAlign w:val="superscript"/>
              </w:rPr>
              <w:t>c</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涉大气污染的，说明排放口和厂界气体监测的一般原则</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按照《突发环境事件应急监测技术规范》等有关要求，确定排放口和厂界气体监测一般原则，为针对具体事件情景制定监测方案提供指导；</w:t>
            </w:r>
          </w:p>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排放口为突发环境事件中污染物的排放出口，包括按照相关环境保护标准设置的排放口</w:t>
            </w:r>
          </w:p>
        </w:tc>
      </w:tr>
      <w:tr w:rsidR="00430C85" w:rsidTr="004017CA">
        <w:trPr>
          <w:trHeight w:val="1134"/>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24</w:t>
            </w:r>
            <w:r>
              <w:rPr>
                <w:rFonts w:ascii="宋体" w:eastAsia="宋体" w:hAnsi="宋体" w:hint="eastAsia"/>
                <w:sz w:val="21"/>
                <w:szCs w:val="21"/>
                <w:vertAlign w:val="superscript"/>
              </w:rPr>
              <w:t>c</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涉水污染的，说明废水排放口、雨水排放口、清净下水排放口等可能外排渠道监测的一般原则</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按照《突发环境事件应急监测技术规范》等有关要求，确定可能外排渠道监测的一般原则，为针对具体事件情景制定监测方案提供指导</w:t>
            </w:r>
          </w:p>
        </w:tc>
      </w:tr>
      <w:tr w:rsidR="00430C85" w:rsidTr="004017CA">
        <w:trPr>
          <w:trHeight w:val="902"/>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25</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监测方案一般应明确监测项目、采样（监测）人员、监测设备、监测频次等</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1</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针对具体事件情景制定监测方案</w:t>
            </w:r>
          </w:p>
        </w:tc>
      </w:tr>
      <w:tr w:rsidR="00430C85" w:rsidTr="004017CA">
        <w:trPr>
          <w:trHeight w:val="1134"/>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26</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明确监测执行单位；自身没有监测能力的，说明协议监测方案，并附协议</w:t>
            </w:r>
          </w:p>
        </w:tc>
        <w:tc>
          <w:tcPr>
            <w:tcW w:w="1276" w:type="dxa"/>
            <w:vAlign w:val="center"/>
          </w:tcPr>
          <w:p w:rsidR="00430C85" w:rsidRDefault="008E1AB4">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8E1AB4">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8E1AB4"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自身没有监测能力的，应与当地环境监测机构或其他机构衔接，确保能够迅速获得环境检测支持</w:t>
            </w:r>
          </w:p>
        </w:tc>
      </w:tr>
      <w:tr w:rsidR="00430C85" w:rsidTr="004017CA">
        <w:trPr>
          <w:trHeight w:val="1134"/>
          <w:jc w:val="center"/>
        </w:trPr>
        <w:tc>
          <w:tcPr>
            <w:tcW w:w="1134"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应对流程和措施</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27</w:t>
            </w:r>
            <w:r>
              <w:rPr>
                <w:rFonts w:ascii="宋体" w:eastAsia="宋体" w:hAnsi="宋体" w:hint="eastAsia"/>
                <w:sz w:val="21"/>
                <w:szCs w:val="21"/>
                <w:vertAlign w:val="superscript"/>
              </w:rPr>
              <w:t>b</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根据环境风险评估报告中的风险分析和情景构建内容，说明应对流程和措施，体现：企业内部控制污染源</w:t>
            </w:r>
            <w:r>
              <w:rPr>
                <w:rFonts w:ascii="宋体" w:eastAsia="宋体" w:hAnsi="宋体"/>
                <w:sz w:val="21"/>
                <w:szCs w:val="21"/>
              </w:rPr>
              <w:t>-</w:t>
            </w:r>
            <w:proofErr w:type="gramStart"/>
            <w:r>
              <w:rPr>
                <w:rFonts w:ascii="宋体" w:eastAsia="宋体" w:hAnsi="宋体" w:hint="eastAsia"/>
                <w:sz w:val="21"/>
                <w:szCs w:val="21"/>
              </w:rPr>
              <w:t>研判污染</w:t>
            </w:r>
            <w:proofErr w:type="gramEnd"/>
            <w:r>
              <w:rPr>
                <w:rFonts w:ascii="宋体" w:eastAsia="宋体" w:hAnsi="宋体" w:hint="eastAsia"/>
                <w:sz w:val="21"/>
                <w:szCs w:val="21"/>
              </w:rPr>
              <w:t>范围</w:t>
            </w:r>
            <w:r>
              <w:rPr>
                <w:rFonts w:ascii="宋体" w:eastAsia="宋体" w:hAnsi="宋体"/>
                <w:sz w:val="21"/>
                <w:szCs w:val="21"/>
              </w:rPr>
              <w:t>-</w:t>
            </w:r>
            <w:r>
              <w:rPr>
                <w:rFonts w:ascii="宋体" w:eastAsia="宋体" w:hAnsi="宋体" w:hint="eastAsia"/>
                <w:sz w:val="21"/>
                <w:szCs w:val="21"/>
              </w:rPr>
              <w:t>控制污染扩散</w:t>
            </w:r>
            <w:r>
              <w:rPr>
                <w:rFonts w:ascii="宋体" w:eastAsia="宋体" w:hAnsi="宋体"/>
                <w:sz w:val="21"/>
                <w:szCs w:val="21"/>
              </w:rPr>
              <w:t>-</w:t>
            </w:r>
            <w:r>
              <w:rPr>
                <w:rFonts w:ascii="宋体" w:eastAsia="宋体" w:hAnsi="宋体" w:hint="eastAsia"/>
                <w:sz w:val="21"/>
                <w:szCs w:val="21"/>
              </w:rPr>
              <w:t>污染处置应对流程和措施</w:t>
            </w:r>
          </w:p>
        </w:tc>
        <w:tc>
          <w:tcPr>
            <w:tcW w:w="1276" w:type="dxa"/>
            <w:vAlign w:val="center"/>
          </w:tcPr>
          <w:p w:rsidR="00430C85" w:rsidRDefault="006F50E3">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6F50E3">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6F50E3" w:rsidP="004017CA">
            <w:pPr>
              <w:adjustRightInd w:val="0"/>
              <w:snapToGrid w:val="0"/>
              <w:jc w:val="center"/>
              <w:rPr>
                <w:rFonts w:ascii="宋体" w:eastAsia="宋体" w:hAnsi="宋体"/>
                <w:sz w:val="21"/>
                <w:szCs w:val="21"/>
              </w:rPr>
            </w:pPr>
            <w:r>
              <w:rPr>
                <w:rFonts w:ascii="宋体" w:eastAsia="宋体" w:hAnsi="宋体"/>
                <w:sz w:val="21"/>
                <w:szCs w:val="21"/>
              </w:rPr>
              <w:t>3</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企业内部应对突发环境事件的原则性措施</w:t>
            </w:r>
          </w:p>
        </w:tc>
      </w:tr>
      <w:tr w:rsidR="00430C85" w:rsidTr="004017CA">
        <w:trPr>
          <w:trHeight w:val="1134"/>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28</w:t>
            </w:r>
            <w:r>
              <w:rPr>
                <w:rFonts w:ascii="宋体" w:eastAsia="宋体" w:hAnsi="宋体" w:hint="eastAsia"/>
                <w:sz w:val="21"/>
                <w:szCs w:val="21"/>
                <w:vertAlign w:val="superscript"/>
              </w:rPr>
              <w:t>b</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体现必要的企业外部应急措施、配合当地人民政府的响应措施及对当地人民政府应急措施的建议</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B1726" w:rsidP="004017CA">
            <w:pPr>
              <w:adjustRightInd w:val="0"/>
              <w:snapToGrid w:val="0"/>
              <w:jc w:val="center"/>
              <w:rPr>
                <w:rFonts w:ascii="宋体" w:eastAsia="宋体" w:hAnsi="宋体"/>
                <w:sz w:val="21"/>
                <w:szCs w:val="21"/>
              </w:rPr>
            </w:pPr>
            <w:r>
              <w:rPr>
                <w:rFonts w:ascii="宋体" w:eastAsia="宋体" w:hAnsi="宋体"/>
                <w:sz w:val="21"/>
                <w:szCs w:val="21"/>
              </w:rPr>
              <w:t>3</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突发环境事件可能或已经对企业外部环境产生影响时，企业在外部可以采取的原则性措施、对当地人民政府的建议性措施</w:t>
            </w:r>
          </w:p>
        </w:tc>
      </w:tr>
      <w:tr w:rsidR="00430C85" w:rsidTr="004017CA">
        <w:trPr>
          <w:trHeight w:val="1071"/>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29</w:t>
            </w:r>
            <w:r>
              <w:rPr>
                <w:rFonts w:ascii="宋体" w:eastAsia="宋体" w:hAnsi="宋体" w:hint="eastAsia"/>
                <w:sz w:val="21"/>
                <w:szCs w:val="21"/>
                <w:vertAlign w:val="superscript"/>
              </w:rPr>
              <w:t>c</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涉及大气污染的，应重点说明受威胁范围、组织公众避险的方式方法，涉及疏散的一般应辅以疏散路线图；如果装备风向标，应配有风向标分布图</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1</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避险的方式包括疏散、防护等，说明避险措施的原则性安排</w:t>
            </w:r>
          </w:p>
        </w:tc>
      </w:tr>
      <w:tr w:rsidR="00430C85" w:rsidTr="004017CA">
        <w:trPr>
          <w:trHeight w:val="1021"/>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30</w:t>
            </w:r>
            <w:r>
              <w:rPr>
                <w:rFonts w:ascii="宋体" w:eastAsia="宋体" w:hAnsi="宋体" w:hint="eastAsia"/>
                <w:sz w:val="21"/>
                <w:szCs w:val="21"/>
                <w:vertAlign w:val="superscript"/>
              </w:rPr>
              <w:t>c</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涉及水污染的，应重点说明企业内收集、封堵、处置污染物的方式方法，适当延伸至企业外防控方式方法；配有废水、雨水、清净下水管网及重要阀门设置图</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8E1AB4">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8E1AB4">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不符合</w:t>
            </w:r>
          </w:p>
        </w:tc>
        <w:tc>
          <w:tcPr>
            <w:tcW w:w="607" w:type="dxa"/>
            <w:gridSpan w:val="2"/>
            <w:vAlign w:val="center"/>
          </w:tcPr>
          <w:p w:rsidR="00430C85" w:rsidRDefault="008E1AB4"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1</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说明控制水污染的原则性安排</w:t>
            </w:r>
          </w:p>
        </w:tc>
      </w:tr>
      <w:tr w:rsidR="00430C85" w:rsidTr="004017CA">
        <w:trPr>
          <w:trHeight w:val="860"/>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31</w:t>
            </w:r>
            <w:r>
              <w:rPr>
                <w:rFonts w:ascii="宋体" w:eastAsia="宋体" w:hAnsi="宋体" w:hint="eastAsia"/>
                <w:sz w:val="21"/>
                <w:szCs w:val="21"/>
                <w:vertAlign w:val="superscript"/>
              </w:rPr>
              <w:t>b</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分别说明可能的事件情景及应急处置方案，明确相关岗位人员采取措施的时间、地点、内容、方式、目标等</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1</w:t>
            </w:r>
            <w:r w:rsidR="00AB1726">
              <w:rPr>
                <w:rFonts w:ascii="宋体" w:eastAsia="宋体" w:hAnsi="宋体"/>
                <w:sz w:val="21"/>
                <w:szCs w:val="21"/>
              </w:rPr>
              <w:t>.5</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按照以上原则性措施，针对具体事件情景，按岗位细化各项应对措施，并纳入岗位职责范围</w:t>
            </w:r>
          </w:p>
        </w:tc>
      </w:tr>
      <w:tr w:rsidR="00430C85" w:rsidTr="004017CA">
        <w:trPr>
          <w:trHeight w:val="1021"/>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32</w:t>
            </w:r>
            <w:r>
              <w:rPr>
                <w:rFonts w:ascii="宋体" w:eastAsia="宋体" w:hAnsi="宋体" w:hint="eastAsia"/>
                <w:sz w:val="21"/>
                <w:szCs w:val="21"/>
                <w:vertAlign w:val="superscript"/>
              </w:rPr>
              <w:t>b</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将应急措施细化、落实到岗位，形成应急</w:t>
            </w:r>
            <w:proofErr w:type="gramStart"/>
            <w:r>
              <w:rPr>
                <w:rFonts w:ascii="宋体" w:eastAsia="宋体" w:hAnsi="宋体" w:hint="eastAsia"/>
                <w:sz w:val="21"/>
                <w:szCs w:val="21"/>
              </w:rPr>
              <w:t>处置卡</w:t>
            </w:r>
            <w:proofErr w:type="gramEnd"/>
          </w:p>
        </w:tc>
        <w:tc>
          <w:tcPr>
            <w:tcW w:w="1276" w:type="dxa"/>
            <w:vAlign w:val="center"/>
          </w:tcPr>
          <w:p w:rsidR="00430C85" w:rsidRDefault="001C7C6D">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1C7C6D">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1C7C6D" w:rsidP="004017CA">
            <w:pPr>
              <w:adjustRightInd w:val="0"/>
              <w:snapToGrid w:val="0"/>
              <w:jc w:val="center"/>
              <w:rPr>
                <w:rFonts w:ascii="宋体" w:eastAsia="宋体" w:hAnsi="宋体"/>
                <w:sz w:val="21"/>
                <w:szCs w:val="21"/>
              </w:rPr>
            </w:pPr>
            <w:r>
              <w:rPr>
                <w:rFonts w:ascii="宋体" w:eastAsia="宋体" w:hAnsi="宋体"/>
                <w:sz w:val="21"/>
                <w:szCs w:val="21"/>
              </w:rPr>
              <w:t>1.5</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关键岗位的应急</w:t>
            </w:r>
            <w:proofErr w:type="gramStart"/>
            <w:r>
              <w:rPr>
                <w:rFonts w:ascii="宋体" w:eastAsia="宋体" w:hAnsi="宋体" w:hint="eastAsia"/>
                <w:sz w:val="21"/>
                <w:szCs w:val="21"/>
              </w:rPr>
              <w:t>处置卡无</w:t>
            </w:r>
            <w:proofErr w:type="gramEnd"/>
            <w:r>
              <w:rPr>
                <w:rFonts w:ascii="宋体" w:eastAsia="宋体" w:hAnsi="宋体" w:hint="eastAsia"/>
                <w:sz w:val="21"/>
                <w:szCs w:val="21"/>
              </w:rPr>
              <w:t>遗漏，事件情景特征、处理步骤、应急物资、注意事项等叙述清晰</w:t>
            </w:r>
          </w:p>
        </w:tc>
      </w:tr>
      <w:tr w:rsidR="00430C85" w:rsidTr="004017CA">
        <w:trPr>
          <w:trHeight w:val="637"/>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33</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配有厂区平面布置图，应急物资表</w:t>
            </w:r>
            <w:r>
              <w:rPr>
                <w:rFonts w:ascii="宋体" w:eastAsia="宋体" w:hAnsi="宋体"/>
                <w:sz w:val="21"/>
                <w:szCs w:val="21"/>
              </w:rPr>
              <w:t>/</w:t>
            </w:r>
            <w:r>
              <w:rPr>
                <w:rFonts w:ascii="宋体" w:eastAsia="宋体" w:hAnsi="宋体" w:hint="eastAsia"/>
                <w:sz w:val="21"/>
                <w:szCs w:val="21"/>
              </w:rPr>
              <w:t>分布图</w:t>
            </w:r>
          </w:p>
        </w:tc>
        <w:tc>
          <w:tcPr>
            <w:tcW w:w="1276" w:type="dxa"/>
            <w:vAlign w:val="center"/>
          </w:tcPr>
          <w:p w:rsidR="00430C85" w:rsidRDefault="006F50E3">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6F50E3">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6F50E3" w:rsidP="004017CA">
            <w:pPr>
              <w:adjustRightInd w:val="0"/>
              <w:snapToGrid w:val="0"/>
              <w:jc w:val="center"/>
              <w:rPr>
                <w:rFonts w:ascii="宋体" w:eastAsia="宋体" w:hAnsi="宋体"/>
                <w:sz w:val="21"/>
                <w:szCs w:val="21"/>
              </w:rPr>
            </w:pPr>
            <w:r>
              <w:rPr>
                <w:rFonts w:ascii="宋体" w:eastAsia="宋体" w:hAnsi="宋体"/>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430C85">
            <w:pPr>
              <w:adjustRightInd w:val="0"/>
              <w:snapToGrid w:val="0"/>
              <w:rPr>
                <w:rFonts w:ascii="宋体" w:eastAsia="宋体" w:hAnsi="宋体"/>
                <w:sz w:val="21"/>
                <w:szCs w:val="21"/>
              </w:rPr>
            </w:pPr>
          </w:p>
        </w:tc>
      </w:tr>
      <w:tr w:rsidR="00430C85" w:rsidTr="004017CA">
        <w:trPr>
          <w:trHeight w:val="890"/>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应急终止</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34</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结合本单位实际，说明应急终止的条件和发布程序</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列明应急终止的基本条件，明确应急终止的决策、指令内容及传递程序等</w:t>
            </w:r>
          </w:p>
        </w:tc>
      </w:tr>
      <w:tr w:rsidR="00430C85" w:rsidTr="004017CA">
        <w:trPr>
          <w:trHeight w:val="1095"/>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事后恢复</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35</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说明事后恢复的工作内容和责任人，一般包括：现场污染物的后续处理；环境应急相关设施、设备、场所的维护；配合开展环境损害评估、赔偿、事件调查处理等</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《突发事件应急预案管理办法》强调应急预案重在“应对”，适当向后延伸至“恢复”，即企业从突发环境事件应对的“非常规状态”过渡到“常规状态”的相关工作安排</w:t>
            </w:r>
          </w:p>
        </w:tc>
      </w:tr>
      <w:tr w:rsidR="00430C85" w:rsidTr="004017CA">
        <w:trPr>
          <w:trHeight w:val="875"/>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保障措施</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36</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说明环境应急预案涉及的人力资源、财力、物资以及其他技术、重要设施的保障</w:t>
            </w:r>
          </w:p>
        </w:tc>
        <w:tc>
          <w:tcPr>
            <w:tcW w:w="1276" w:type="dxa"/>
            <w:vAlign w:val="center"/>
          </w:tcPr>
          <w:p w:rsidR="00430C85" w:rsidRDefault="001C7C6D">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1C7C6D">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1C7C6D" w:rsidP="004017CA">
            <w:pPr>
              <w:adjustRightInd w:val="0"/>
              <w:snapToGrid w:val="0"/>
              <w:jc w:val="center"/>
              <w:rPr>
                <w:rFonts w:ascii="宋体" w:eastAsia="宋体" w:hAnsi="宋体"/>
                <w:sz w:val="21"/>
                <w:szCs w:val="21"/>
              </w:rPr>
            </w:pPr>
            <w:r>
              <w:rPr>
                <w:rFonts w:ascii="宋体" w:eastAsia="宋体" w:hAnsi="宋体"/>
                <w:sz w:val="21"/>
                <w:szCs w:val="21"/>
              </w:rPr>
              <w:t>1</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对各类保障措施进行总体安排</w:t>
            </w:r>
          </w:p>
        </w:tc>
      </w:tr>
      <w:tr w:rsidR="00430C85" w:rsidTr="004017CA">
        <w:trPr>
          <w:trHeight w:val="916"/>
          <w:jc w:val="center"/>
        </w:trPr>
        <w:tc>
          <w:tcPr>
            <w:tcW w:w="1134"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预案管理</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37</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安排有关环境应急预案的培训和演练</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对预案培训、演练进行总体安排</w:t>
            </w:r>
          </w:p>
        </w:tc>
      </w:tr>
      <w:tr w:rsidR="00430C85" w:rsidTr="004017CA">
        <w:trPr>
          <w:trHeight w:val="930"/>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38</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明确环境应急预案的评估修订要求</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对预案评估修订进行总体安排</w:t>
            </w:r>
          </w:p>
        </w:tc>
      </w:tr>
      <w:tr w:rsidR="00430C85" w:rsidTr="004017CA">
        <w:trPr>
          <w:trHeight w:val="525"/>
          <w:jc w:val="center"/>
        </w:trPr>
        <w:tc>
          <w:tcPr>
            <w:tcW w:w="13781" w:type="dxa"/>
            <w:gridSpan w:val="8"/>
            <w:vAlign w:val="center"/>
          </w:tcPr>
          <w:p w:rsidR="00430C85" w:rsidRDefault="00B073E1" w:rsidP="004017CA">
            <w:pPr>
              <w:adjustRightInd w:val="0"/>
              <w:snapToGrid w:val="0"/>
              <w:jc w:val="center"/>
              <w:rPr>
                <w:rFonts w:ascii="黑体" w:eastAsia="黑体" w:hAnsi="黑体"/>
                <w:sz w:val="21"/>
                <w:szCs w:val="21"/>
              </w:rPr>
            </w:pPr>
            <w:r>
              <w:rPr>
                <w:rFonts w:ascii="黑体" w:eastAsia="黑体" w:hAnsi="黑体" w:hint="eastAsia"/>
                <w:sz w:val="21"/>
                <w:szCs w:val="21"/>
              </w:rPr>
              <w:t>环境风险评估报告</w:t>
            </w:r>
          </w:p>
        </w:tc>
      </w:tr>
      <w:tr w:rsidR="00430C85" w:rsidTr="004017CA">
        <w:trPr>
          <w:trHeight w:val="1237"/>
          <w:jc w:val="center"/>
        </w:trPr>
        <w:tc>
          <w:tcPr>
            <w:tcW w:w="1134" w:type="dxa"/>
            <w:vMerge w:val="restart"/>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风险分析</w:t>
            </w:r>
            <w:r>
              <w:rPr>
                <w:rFonts w:ascii="宋体" w:eastAsia="宋体" w:hAnsi="宋体" w:hint="eastAsia"/>
                <w:sz w:val="21"/>
                <w:szCs w:val="21"/>
                <w:vertAlign w:val="superscript"/>
              </w:rPr>
              <w:t>c</w:t>
            </w: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39</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识别出所有重要的环境风险物质；列表，至少列出重要环境风险物质的名称、数量（最大存在总量）、位置</w:t>
            </w:r>
            <w:r>
              <w:rPr>
                <w:rFonts w:ascii="宋体" w:eastAsia="宋体" w:hAnsi="宋体"/>
                <w:sz w:val="21"/>
                <w:szCs w:val="21"/>
              </w:rPr>
              <w:t>/</w:t>
            </w:r>
            <w:r>
              <w:rPr>
                <w:rFonts w:ascii="宋体" w:eastAsia="宋体" w:hAnsi="宋体" w:hint="eastAsia"/>
                <w:sz w:val="21"/>
                <w:szCs w:val="21"/>
              </w:rPr>
              <w:t>所在装置；环境风险物质数量大于临界量的，辨识重要环境风险单元</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对照企业突发环境事件风险评估相关文件，识别出所有重要的物质；对于数量大于临界量的，应辨识环境风险物质在企业哪些环境风险单元集中分布</w:t>
            </w:r>
          </w:p>
        </w:tc>
      </w:tr>
      <w:tr w:rsidR="00430C85" w:rsidTr="004017CA">
        <w:trPr>
          <w:trHeight w:val="972"/>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40</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重点核对生产工艺、环境风险防控措施各项指标的赋值是否合理</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按照企业突发环境事件风险评估相关文件</w:t>
            </w:r>
            <w:proofErr w:type="gramStart"/>
            <w:r>
              <w:rPr>
                <w:rFonts w:ascii="宋体" w:eastAsia="宋体" w:hAnsi="宋体" w:hint="eastAsia"/>
                <w:sz w:val="21"/>
                <w:szCs w:val="21"/>
              </w:rPr>
              <w:t>的赋分规则</w:t>
            </w:r>
            <w:proofErr w:type="gramEnd"/>
            <w:r>
              <w:rPr>
                <w:rFonts w:ascii="宋体" w:eastAsia="宋体" w:hAnsi="宋体" w:hint="eastAsia"/>
                <w:sz w:val="21"/>
                <w:szCs w:val="21"/>
              </w:rPr>
              <w:t>审查</w:t>
            </w:r>
          </w:p>
        </w:tc>
      </w:tr>
      <w:tr w:rsidR="00430C85" w:rsidTr="004017CA">
        <w:trPr>
          <w:trHeight w:val="818"/>
          <w:jc w:val="center"/>
        </w:trPr>
        <w:tc>
          <w:tcPr>
            <w:tcW w:w="1134" w:type="dxa"/>
            <w:vMerge/>
            <w:vAlign w:val="center"/>
          </w:tcPr>
          <w:p w:rsidR="00430C85" w:rsidRDefault="00430C85"/>
        </w:tc>
        <w:tc>
          <w:tcPr>
            <w:tcW w:w="426"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41</w:t>
            </w:r>
          </w:p>
        </w:tc>
        <w:tc>
          <w:tcPr>
            <w:tcW w:w="4819"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环境风险受体类型的确定是否合理</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按照企业突发环境事件风险评估相关文件的受体划分依据审查</w:t>
            </w:r>
          </w:p>
        </w:tc>
      </w:tr>
      <w:tr w:rsidR="00430C85" w:rsidTr="004017CA">
        <w:trPr>
          <w:trHeight w:val="693"/>
          <w:jc w:val="center"/>
        </w:trPr>
        <w:tc>
          <w:tcPr>
            <w:tcW w:w="1134" w:type="dxa"/>
            <w:vMerge/>
            <w:vAlign w:val="center"/>
          </w:tcPr>
          <w:p w:rsidR="00430C85" w:rsidRDefault="00430C85"/>
        </w:tc>
        <w:tc>
          <w:tcPr>
            <w:tcW w:w="426"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42</w:t>
            </w:r>
          </w:p>
        </w:tc>
        <w:tc>
          <w:tcPr>
            <w:tcW w:w="4819"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环境风险等级划分是否正确</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按照企业突发环境事件风险评估相关文件审查</w:t>
            </w:r>
          </w:p>
        </w:tc>
      </w:tr>
      <w:tr w:rsidR="00430C85" w:rsidTr="004017CA">
        <w:trPr>
          <w:trHeight w:val="1378"/>
          <w:jc w:val="center"/>
        </w:trPr>
        <w:tc>
          <w:tcPr>
            <w:tcW w:w="1134" w:type="dxa"/>
            <w:vMerge w:val="restart"/>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情景构建</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43</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列明国内外同类企业的突发环境事件信息，提出本企业可能发生的突发环境事件情景</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列表说明事件的日期、地点、引发原因、事件影响等内容，按照企业突发环境事件风险评估相关文件，结合企业实际列出事件情景</w:t>
            </w:r>
          </w:p>
        </w:tc>
      </w:tr>
      <w:tr w:rsidR="00430C85" w:rsidTr="004017CA">
        <w:trPr>
          <w:trHeight w:val="1532"/>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44</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源强分析，重点分析释放环境风险物质的种类、释放速率、持续时间</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1</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针对每种典型事件情景进行源强分析，至少包括释放环境风险物质的种类、释放速率、持续时间三个要素，可以参考《建设项目环境风险评价技术导则》</w:t>
            </w:r>
          </w:p>
        </w:tc>
      </w:tr>
      <w:tr w:rsidR="00430C85" w:rsidTr="004017CA">
        <w:trPr>
          <w:trHeight w:val="1489"/>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45</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释放途径分析，重点分析环境风险物质从释放源头到受体之间的过程</w:t>
            </w:r>
          </w:p>
        </w:tc>
        <w:tc>
          <w:tcPr>
            <w:tcW w:w="1276" w:type="dxa"/>
            <w:vAlign w:val="center"/>
          </w:tcPr>
          <w:p w:rsidR="00430C85" w:rsidRDefault="00DF081F">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DF081F">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DF081F" w:rsidP="004017CA">
            <w:pPr>
              <w:adjustRightInd w:val="0"/>
              <w:snapToGrid w:val="0"/>
              <w:jc w:val="center"/>
              <w:rPr>
                <w:rFonts w:ascii="宋体" w:eastAsia="宋体" w:hAnsi="宋体"/>
                <w:sz w:val="21"/>
                <w:szCs w:val="21"/>
              </w:rPr>
            </w:pPr>
            <w:r>
              <w:rPr>
                <w:rFonts w:ascii="宋体" w:eastAsia="宋体" w:hAnsi="宋体"/>
                <w:sz w:val="21"/>
                <w:szCs w:val="21"/>
              </w:rPr>
              <w:t>1</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对于可能造成水污染的，分析环境风险物质从释放源头，经厂界内到厂界外，最终影响到环境风险受体的可能的路径；对于可能造成大气污染的，分析从泄漏源头释放</w:t>
            </w:r>
            <w:proofErr w:type="gramStart"/>
            <w:r>
              <w:rPr>
                <w:rFonts w:ascii="宋体" w:eastAsia="宋体" w:hAnsi="宋体" w:hint="eastAsia"/>
                <w:sz w:val="21"/>
                <w:szCs w:val="21"/>
              </w:rPr>
              <w:t>至风险</w:t>
            </w:r>
            <w:proofErr w:type="gramEnd"/>
            <w:r>
              <w:rPr>
                <w:rFonts w:ascii="宋体" w:eastAsia="宋体" w:hAnsi="宋体" w:hint="eastAsia"/>
                <w:sz w:val="21"/>
                <w:szCs w:val="21"/>
              </w:rPr>
              <w:t>受体的路径</w:t>
            </w:r>
          </w:p>
        </w:tc>
      </w:tr>
      <w:tr w:rsidR="00430C85" w:rsidTr="004017CA">
        <w:trPr>
          <w:trHeight w:val="1098"/>
          <w:jc w:val="center"/>
        </w:trPr>
        <w:tc>
          <w:tcPr>
            <w:tcW w:w="1134" w:type="dxa"/>
            <w:vMerge/>
            <w:vAlign w:val="center"/>
          </w:tcPr>
          <w:p w:rsidR="00430C85" w:rsidRDefault="00430C85">
            <w:pPr>
              <w:adjustRightInd w:val="0"/>
              <w:snapToGrid w:val="0"/>
              <w:jc w:val="center"/>
              <w:rPr>
                <w:rFonts w:ascii="宋体" w:eastAsia="宋体" w:hAnsi="宋体"/>
                <w:sz w:val="21"/>
                <w:szCs w:val="21"/>
              </w:rPr>
            </w:pP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46</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危害后果分析，重点分析环境风险物质的影响范围和程度</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1</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针对每种情景的重点环境风险物质，计算浓度分布情况，说明影响范围和程度</w:t>
            </w:r>
          </w:p>
        </w:tc>
      </w:tr>
      <w:tr w:rsidR="00430C85" w:rsidTr="004017CA">
        <w:trPr>
          <w:trHeight w:val="1153"/>
          <w:jc w:val="center"/>
        </w:trPr>
        <w:tc>
          <w:tcPr>
            <w:tcW w:w="1134" w:type="dxa"/>
            <w:vMerge/>
            <w:vAlign w:val="center"/>
          </w:tcPr>
          <w:p w:rsidR="00430C85" w:rsidRDefault="00430C85">
            <w:pPr>
              <w:keepNext/>
              <w:keepLines/>
              <w:adjustRightInd w:val="0"/>
              <w:snapToGrid w:val="0"/>
              <w:jc w:val="center"/>
              <w:rPr>
                <w:rFonts w:ascii="宋体" w:eastAsia="宋体" w:hAnsi="宋体"/>
                <w:sz w:val="21"/>
                <w:szCs w:val="21"/>
              </w:rPr>
            </w:pP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47</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明确在最坏情景下，大气环境风险物质影响最远距离内的人口数量及位置等，水环境敏感受体的数量及位置等信息，并附有相关示意图</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hint="eastAsia"/>
                <w:sz w:val="21"/>
                <w:szCs w:val="21"/>
              </w:rPr>
              <w:t>1</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针对最坏情景的计算结果，列出受影响的大气和水环境保护目标，附图</w:t>
            </w:r>
            <w:proofErr w:type="gramStart"/>
            <w:r>
              <w:rPr>
                <w:rFonts w:ascii="宋体" w:eastAsia="宋体" w:hAnsi="宋体" w:hint="eastAsia"/>
                <w:sz w:val="21"/>
                <w:szCs w:val="21"/>
              </w:rPr>
              <w:t>示说明</w:t>
            </w:r>
            <w:proofErr w:type="gramEnd"/>
          </w:p>
        </w:tc>
      </w:tr>
      <w:tr w:rsidR="00430C85" w:rsidTr="004017CA">
        <w:trPr>
          <w:trHeight w:val="1433"/>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完善计划</w:t>
            </w:r>
          </w:p>
        </w:tc>
        <w:tc>
          <w:tcPr>
            <w:tcW w:w="426" w:type="dxa"/>
            <w:vAlign w:val="center"/>
          </w:tcPr>
          <w:p w:rsidR="00430C85" w:rsidRDefault="00B073E1">
            <w:pPr>
              <w:pStyle w:val="1"/>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48</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分析现有环境风险防控与应急措施所存在的差距，制定环境风险防控整改完善计划</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对现有环境风险防控与应急措施的完备性、可靠性和有效性进行分析论证，找出差距、问题。针对需要整改的短期、中期和长期项目，分别制定完善环境风险防控和应急措施的实施计划</w:t>
            </w:r>
          </w:p>
        </w:tc>
      </w:tr>
      <w:tr w:rsidR="00430C85" w:rsidTr="004017CA">
        <w:trPr>
          <w:trHeight w:val="567"/>
          <w:jc w:val="center"/>
        </w:trPr>
        <w:tc>
          <w:tcPr>
            <w:tcW w:w="13781" w:type="dxa"/>
            <w:gridSpan w:val="8"/>
            <w:vAlign w:val="center"/>
          </w:tcPr>
          <w:p w:rsidR="00430C85" w:rsidRDefault="00B073E1" w:rsidP="004017CA">
            <w:pPr>
              <w:adjustRightInd w:val="0"/>
              <w:snapToGrid w:val="0"/>
              <w:jc w:val="center"/>
              <w:rPr>
                <w:rFonts w:ascii="黑体" w:eastAsia="黑体" w:hAnsi="黑体"/>
                <w:sz w:val="21"/>
                <w:szCs w:val="21"/>
              </w:rPr>
            </w:pPr>
            <w:r>
              <w:rPr>
                <w:rFonts w:ascii="黑体" w:eastAsia="黑体" w:hAnsi="黑体" w:hint="eastAsia"/>
                <w:sz w:val="21"/>
                <w:szCs w:val="21"/>
              </w:rPr>
              <w:t>环境应急资源调查报告（表）</w:t>
            </w:r>
          </w:p>
        </w:tc>
      </w:tr>
      <w:tr w:rsidR="00430C85" w:rsidTr="004017CA">
        <w:trPr>
          <w:trHeight w:val="1713"/>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lastRenderedPageBreak/>
              <w:t>调查内容</w:t>
            </w:r>
          </w:p>
        </w:tc>
        <w:tc>
          <w:tcPr>
            <w:tcW w:w="426" w:type="dxa"/>
            <w:vAlign w:val="center"/>
          </w:tcPr>
          <w:p w:rsidR="00430C85" w:rsidRDefault="00B073E1">
            <w:pPr>
              <w:pStyle w:val="1"/>
              <w:keepNext/>
              <w:keepLines/>
              <w:tabs>
                <w:tab w:val="left" w:pos="0"/>
              </w:tab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49</w:t>
            </w:r>
          </w:p>
        </w:tc>
        <w:tc>
          <w:tcPr>
            <w:tcW w:w="4819" w:type="dxa"/>
            <w:vAlign w:val="center"/>
          </w:tcPr>
          <w:p w:rsidR="00430C85" w:rsidRDefault="00B073E1">
            <w:pPr>
              <w:adjustRightInd w:val="0"/>
              <w:snapToGrid w:val="0"/>
              <w:jc w:val="left"/>
              <w:rPr>
                <w:rFonts w:ascii="宋体" w:eastAsia="宋体" w:hAnsi="宋体"/>
                <w:spacing w:val="-2"/>
                <w:sz w:val="21"/>
                <w:szCs w:val="21"/>
              </w:rPr>
            </w:pPr>
            <w:r>
              <w:rPr>
                <w:rFonts w:ascii="宋体" w:eastAsia="宋体" w:hAnsi="宋体" w:hint="eastAsia"/>
                <w:spacing w:val="-2"/>
                <w:sz w:val="21"/>
                <w:szCs w:val="21"/>
              </w:rPr>
              <w:t>第一时间可调用的环境应急队伍、装备、物资、场所</w:t>
            </w:r>
          </w:p>
        </w:tc>
        <w:tc>
          <w:tcPr>
            <w:tcW w:w="1276" w:type="dxa"/>
            <w:vAlign w:val="center"/>
          </w:tcPr>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符合</w:t>
            </w:r>
            <w:r w:rsidR="00B073E1">
              <w:rPr>
                <w:rFonts w:ascii="宋体" w:eastAsia="宋体" w:hAnsi="宋体"/>
                <w:sz w:val="21"/>
                <w:szCs w:val="21"/>
              </w:rPr>
              <w:t xml:space="preserve"> </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□部分符合</w:t>
            </w:r>
          </w:p>
          <w:p w:rsidR="00430C85" w:rsidRDefault="00B073E1">
            <w:pPr>
              <w:adjustRightInd w:val="0"/>
              <w:snapToGrid w:val="0"/>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keepNext/>
              <w:keepLines/>
              <w:adjustRightInd w:val="0"/>
              <w:snapToGrid w:val="0"/>
              <w:jc w:val="center"/>
              <w:rPr>
                <w:rFonts w:ascii="宋体" w:eastAsia="宋体" w:hAnsi="宋体"/>
                <w:sz w:val="21"/>
                <w:szCs w:val="21"/>
              </w:rPr>
            </w:pPr>
            <w:r>
              <w:rPr>
                <w:rFonts w:ascii="宋体" w:eastAsia="宋体" w:hAnsi="宋体" w:hint="eastAsia"/>
                <w:sz w:val="21"/>
                <w:szCs w:val="21"/>
              </w:rPr>
              <w:t>2</w:t>
            </w:r>
          </w:p>
        </w:tc>
        <w:tc>
          <w:tcPr>
            <w:tcW w:w="669" w:type="dxa"/>
            <w:vAlign w:val="center"/>
          </w:tcPr>
          <w:p w:rsidR="00430C85" w:rsidRDefault="00430C85" w:rsidP="004017CA">
            <w:pPr>
              <w:keepNext/>
              <w:keepLines/>
              <w:adjustRightInd w:val="0"/>
              <w:snapToGrid w:val="0"/>
              <w:jc w:val="center"/>
              <w:rPr>
                <w:rFonts w:ascii="宋体" w:eastAsia="宋体" w:hAnsi="宋体"/>
                <w:sz w:val="21"/>
                <w:szCs w:val="21"/>
              </w:rPr>
            </w:pPr>
          </w:p>
        </w:tc>
        <w:tc>
          <w:tcPr>
            <w:tcW w:w="4850" w:type="dxa"/>
            <w:vAlign w:val="center"/>
          </w:tcPr>
          <w:p w:rsidR="00430C85" w:rsidRDefault="00B073E1">
            <w:pPr>
              <w:keepNext/>
              <w:keepLines/>
              <w:adjustRightInd w:val="0"/>
              <w:snapToGrid w:val="0"/>
              <w:jc w:val="left"/>
              <w:rPr>
                <w:rFonts w:ascii="宋体" w:eastAsia="宋体" w:hAnsi="宋体"/>
                <w:sz w:val="21"/>
                <w:szCs w:val="21"/>
              </w:rPr>
            </w:pPr>
            <w:r>
              <w:rPr>
                <w:rFonts w:ascii="宋体" w:eastAsia="宋体" w:hAnsi="宋体" w:hint="eastAsia"/>
                <w:sz w:val="21"/>
                <w:szCs w:val="21"/>
              </w:rPr>
              <w:t>重点调查可以直接使用的环境应急资源，包括：专职和兼职应急队伍；自储、代储、协议储备的环境应急装备；自储、代储、协议储备环境应急物资；应急处置场所、应急物资或装备存放场所、应急指挥场所。预案中的应急措施使用的环境应急资源与现有资源一致</w:t>
            </w:r>
          </w:p>
        </w:tc>
      </w:tr>
      <w:tr w:rsidR="00430C85" w:rsidTr="004017CA">
        <w:trPr>
          <w:trHeight w:val="1042"/>
          <w:jc w:val="center"/>
        </w:trPr>
        <w:tc>
          <w:tcPr>
            <w:tcW w:w="1134" w:type="dxa"/>
            <w:vAlign w:val="center"/>
          </w:tcPr>
          <w:p w:rsidR="00430C85" w:rsidRDefault="00B073E1">
            <w:pPr>
              <w:adjustRightInd w:val="0"/>
              <w:snapToGrid w:val="0"/>
              <w:jc w:val="center"/>
              <w:rPr>
                <w:rFonts w:ascii="宋体" w:eastAsia="宋体" w:hAnsi="宋体"/>
                <w:sz w:val="21"/>
                <w:szCs w:val="21"/>
              </w:rPr>
            </w:pPr>
            <w:r>
              <w:rPr>
                <w:rFonts w:ascii="宋体" w:eastAsia="宋体" w:hAnsi="宋体" w:hint="eastAsia"/>
                <w:sz w:val="21"/>
                <w:szCs w:val="21"/>
              </w:rPr>
              <w:t>调查结果</w:t>
            </w:r>
          </w:p>
        </w:tc>
        <w:tc>
          <w:tcPr>
            <w:tcW w:w="426" w:type="dxa"/>
            <w:vAlign w:val="center"/>
          </w:tcPr>
          <w:p w:rsidR="00430C85" w:rsidRDefault="00B073E1">
            <w:pPr>
              <w:pStyle w:val="1"/>
              <w:keepNext/>
              <w:keepLines/>
              <w:adjustRightInd w:val="0"/>
              <w:snapToGrid w:val="0"/>
              <w:ind w:firstLineChars="0" w:firstLine="0"/>
              <w:jc w:val="center"/>
              <w:rPr>
                <w:rFonts w:ascii="宋体" w:eastAsia="宋体" w:hAnsi="宋体"/>
                <w:sz w:val="21"/>
                <w:szCs w:val="21"/>
              </w:rPr>
            </w:pPr>
            <w:r>
              <w:rPr>
                <w:rFonts w:ascii="宋体" w:eastAsia="宋体" w:hAnsi="宋体" w:hint="eastAsia"/>
                <w:sz w:val="21"/>
                <w:szCs w:val="21"/>
              </w:rPr>
              <w:t>50</w:t>
            </w:r>
          </w:p>
        </w:tc>
        <w:tc>
          <w:tcPr>
            <w:tcW w:w="4819"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针对环境应急资源清单，抽查数据的可信性</w:t>
            </w:r>
          </w:p>
        </w:tc>
        <w:tc>
          <w:tcPr>
            <w:tcW w:w="1276" w:type="dxa"/>
            <w:vAlign w:val="center"/>
          </w:tcPr>
          <w:p w:rsidR="00430C85" w:rsidRDefault="00B073E1">
            <w:pPr>
              <w:adjustRightInd w:val="0"/>
              <w:snapToGrid w:val="0"/>
              <w:rPr>
                <w:rFonts w:ascii="宋体" w:eastAsia="宋体" w:hAnsi="宋体"/>
                <w:sz w:val="21"/>
                <w:szCs w:val="21"/>
              </w:rPr>
            </w:pPr>
            <w:r>
              <w:rPr>
                <w:rFonts w:ascii="宋体" w:eastAsia="宋体" w:hAnsi="宋体" w:hint="eastAsia"/>
                <w:sz w:val="21"/>
                <w:szCs w:val="21"/>
              </w:rPr>
              <w:t>□符合</w:t>
            </w:r>
            <w:r>
              <w:rPr>
                <w:rFonts w:ascii="宋体" w:eastAsia="宋体" w:hAnsi="宋体"/>
                <w:sz w:val="21"/>
                <w:szCs w:val="21"/>
              </w:rPr>
              <w:t xml:space="preserve"> </w:t>
            </w:r>
          </w:p>
          <w:p w:rsidR="00430C85" w:rsidRDefault="00A16B41">
            <w:pPr>
              <w:adjustRightInd w:val="0"/>
              <w:snapToGrid w:val="0"/>
              <w:rPr>
                <w:rFonts w:ascii="宋体" w:eastAsia="宋体" w:hAnsi="宋体"/>
                <w:sz w:val="21"/>
                <w:szCs w:val="21"/>
              </w:rPr>
            </w:pPr>
            <w:r>
              <w:rPr>
                <w:rFonts w:ascii="宋体" w:eastAsia="宋体" w:hAnsi="宋体" w:hint="eastAsia"/>
                <w:sz w:val="21"/>
                <w:szCs w:val="21"/>
              </w:rPr>
              <w:t>■</w:t>
            </w:r>
            <w:r w:rsidR="00B073E1">
              <w:rPr>
                <w:rFonts w:ascii="宋体" w:eastAsia="宋体" w:hAnsi="宋体" w:hint="eastAsia"/>
                <w:sz w:val="21"/>
                <w:szCs w:val="21"/>
              </w:rPr>
              <w:t>部分符合</w:t>
            </w:r>
          </w:p>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□不符合</w:t>
            </w:r>
          </w:p>
        </w:tc>
        <w:tc>
          <w:tcPr>
            <w:tcW w:w="607" w:type="dxa"/>
            <w:gridSpan w:val="2"/>
            <w:vAlign w:val="center"/>
          </w:tcPr>
          <w:p w:rsidR="00430C85" w:rsidRDefault="00A16B41" w:rsidP="004017CA">
            <w:pPr>
              <w:adjustRightInd w:val="0"/>
              <w:snapToGrid w:val="0"/>
              <w:jc w:val="center"/>
              <w:rPr>
                <w:rFonts w:ascii="宋体" w:eastAsia="宋体" w:hAnsi="宋体"/>
                <w:sz w:val="21"/>
                <w:szCs w:val="21"/>
              </w:rPr>
            </w:pPr>
            <w:r>
              <w:rPr>
                <w:rFonts w:ascii="宋体" w:eastAsia="宋体" w:hAnsi="宋体"/>
                <w:sz w:val="21"/>
                <w:szCs w:val="21"/>
              </w:rPr>
              <w:t>1</w:t>
            </w:r>
          </w:p>
        </w:tc>
        <w:tc>
          <w:tcPr>
            <w:tcW w:w="669" w:type="dxa"/>
            <w:vAlign w:val="center"/>
          </w:tcPr>
          <w:p w:rsidR="00430C85" w:rsidRDefault="00430C85" w:rsidP="004017CA">
            <w:pPr>
              <w:adjustRightInd w:val="0"/>
              <w:snapToGrid w:val="0"/>
              <w:jc w:val="center"/>
              <w:rPr>
                <w:rFonts w:ascii="宋体" w:eastAsia="宋体" w:hAnsi="宋体"/>
                <w:sz w:val="21"/>
                <w:szCs w:val="21"/>
              </w:rPr>
            </w:pPr>
          </w:p>
        </w:tc>
        <w:tc>
          <w:tcPr>
            <w:tcW w:w="4850" w:type="dxa"/>
            <w:vAlign w:val="center"/>
          </w:tcPr>
          <w:p w:rsidR="00430C85" w:rsidRDefault="00B073E1">
            <w:pPr>
              <w:adjustRightInd w:val="0"/>
              <w:snapToGrid w:val="0"/>
              <w:jc w:val="left"/>
              <w:rPr>
                <w:rFonts w:ascii="宋体" w:eastAsia="宋体" w:hAnsi="宋体"/>
                <w:sz w:val="21"/>
                <w:szCs w:val="21"/>
              </w:rPr>
            </w:pPr>
            <w:r>
              <w:rPr>
                <w:rFonts w:ascii="宋体" w:eastAsia="宋体" w:hAnsi="宋体" w:hint="eastAsia"/>
                <w:sz w:val="21"/>
                <w:szCs w:val="21"/>
              </w:rPr>
              <w:t>通过逻辑分析、现场抽查等方式对调查数据进行查验</w:t>
            </w:r>
          </w:p>
        </w:tc>
      </w:tr>
      <w:tr w:rsidR="00430C85" w:rsidTr="004017CA">
        <w:trPr>
          <w:trHeight w:val="674"/>
          <w:jc w:val="center"/>
        </w:trPr>
        <w:tc>
          <w:tcPr>
            <w:tcW w:w="7655" w:type="dxa"/>
            <w:gridSpan w:val="4"/>
            <w:vAlign w:val="center"/>
          </w:tcPr>
          <w:p w:rsidR="00430C85" w:rsidRDefault="00B073E1">
            <w:pPr>
              <w:adjustRightInd w:val="0"/>
              <w:snapToGrid w:val="0"/>
              <w:jc w:val="center"/>
              <w:rPr>
                <w:rFonts w:ascii="宋体" w:eastAsia="宋体" w:hAnsi="宋体"/>
                <w:b/>
                <w:sz w:val="21"/>
                <w:szCs w:val="21"/>
              </w:rPr>
            </w:pPr>
            <w:r>
              <w:rPr>
                <w:rFonts w:ascii="宋体" w:eastAsia="宋体" w:hAnsi="宋体" w:hint="eastAsia"/>
                <w:b/>
                <w:sz w:val="21"/>
                <w:szCs w:val="21"/>
              </w:rPr>
              <w:t>合  计</w:t>
            </w:r>
          </w:p>
        </w:tc>
        <w:tc>
          <w:tcPr>
            <w:tcW w:w="607" w:type="dxa"/>
            <w:gridSpan w:val="2"/>
            <w:vAlign w:val="center"/>
          </w:tcPr>
          <w:p w:rsidR="00430C85" w:rsidRDefault="00AB1726" w:rsidP="008E1AB4">
            <w:pPr>
              <w:adjustRightInd w:val="0"/>
              <w:snapToGrid w:val="0"/>
              <w:jc w:val="center"/>
              <w:rPr>
                <w:rFonts w:ascii="宋体" w:eastAsia="宋体" w:hAnsi="宋体"/>
                <w:b/>
                <w:sz w:val="21"/>
                <w:szCs w:val="21"/>
              </w:rPr>
            </w:pPr>
            <w:r>
              <w:rPr>
                <w:rFonts w:ascii="宋体" w:eastAsia="宋体" w:hAnsi="宋体"/>
                <w:b/>
                <w:sz w:val="21"/>
                <w:szCs w:val="21"/>
              </w:rPr>
              <w:t>8</w:t>
            </w:r>
            <w:r w:rsidR="001C7C6D">
              <w:rPr>
                <w:rFonts w:ascii="宋体" w:eastAsia="宋体" w:hAnsi="宋体"/>
                <w:b/>
                <w:sz w:val="21"/>
                <w:szCs w:val="21"/>
              </w:rPr>
              <w:t>1.5</w:t>
            </w:r>
          </w:p>
        </w:tc>
        <w:tc>
          <w:tcPr>
            <w:tcW w:w="669" w:type="dxa"/>
            <w:vAlign w:val="center"/>
          </w:tcPr>
          <w:p w:rsidR="00430C85" w:rsidRDefault="00B073E1" w:rsidP="004017CA">
            <w:pPr>
              <w:adjustRightInd w:val="0"/>
              <w:snapToGrid w:val="0"/>
              <w:jc w:val="center"/>
              <w:rPr>
                <w:rFonts w:ascii="宋体" w:eastAsia="宋体" w:hAnsi="宋体"/>
                <w:b/>
                <w:sz w:val="21"/>
                <w:szCs w:val="21"/>
              </w:rPr>
            </w:pPr>
            <w:r>
              <w:rPr>
                <w:rFonts w:ascii="宋体" w:eastAsia="宋体" w:hAnsi="宋体" w:hint="eastAsia"/>
                <w:b/>
                <w:sz w:val="21"/>
                <w:szCs w:val="21"/>
              </w:rPr>
              <w:t>-</w:t>
            </w:r>
          </w:p>
        </w:tc>
        <w:tc>
          <w:tcPr>
            <w:tcW w:w="4850" w:type="dxa"/>
            <w:vAlign w:val="center"/>
          </w:tcPr>
          <w:p w:rsidR="00430C85" w:rsidRDefault="00B073E1">
            <w:pPr>
              <w:adjustRightInd w:val="0"/>
              <w:snapToGrid w:val="0"/>
              <w:jc w:val="center"/>
              <w:rPr>
                <w:rFonts w:ascii="宋体" w:eastAsia="宋体" w:hAnsi="宋体"/>
                <w:b/>
                <w:sz w:val="21"/>
                <w:szCs w:val="21"/>
              </w:rPr>
            </w:pPr>
            <w:r>
              <w:rPr>
                <w:rFonts w:ascii="宋体" w:eastAsia="宋体" w:hAnsi="宋体" w:hint="eastAsia"/>
                <w:b/>
                <w:sz w:val="21"/>
                <w:szCs w:val="21"/>
              </w:rPr>
              <w:t>-</w:t>
            </w:r>
          </w:p>
        </w:tc>
      </w:tr>
      <w:tr w:rsidR="00430C85">
        <w:trPr>
          <w:trHeight w:val="1042"/>
          <w:jc w:val="center"/>
        </w:trPr>
        <w:tc>
          <w:tcPr>
            <w:tcW w:w="13781" w:type="dxa"/>
            <w:gridSpan w:val="8"/>
            <w:vAlign w:val="center"/>
          </w:tcPr>
          <w:p w:rsidR="00430C85" w:rsidRDefault="00B073E1">
            <w:pPr>
              <w:keepNext/>
              <w:keepLines/>
              <w:adjustRightInd w:val="0"/>
              <w:snapToGrid w:val="0"/>
              <w:rPr>
                <w:rFonts w:ascii="宋体" w:eastAsia="宋体" w:hAnsi="宋体"/>
                <w:sz w:val="21"/>
                <w:szCs w:val="21"/>
              </w:rPr>
            </w:pPr>
            <w:r>
              <w:rPr>
                <w:rFonts w:ascii="宋体" w:eastAsia="宋体" w:hAnsi="宋体" w:hint="eastAsia"/>
                <w:sz w:val="21"/>
                <w:szCs w:val="21"/>
              </w:rPr>
              <w:t>评审人员（签字）：</w:t>
            </w:r>
            <w:r w:rsidR="00D41D6F">
              <w:rPr>
                <w:rFonts w:ascii="宋体" w:eastAsia="宋体" w:hAnsi="宋体" w:hint="eastAsia"/>
                <w:sz w:val="21"/>
                <w:szCs w:val="21"/>
              </w:rPr>
              <w:t>张吉</w:t>
            </w:r>
          </w:p>
          <w:p w:rsidR="00430C85" w:rsidRDefault="00B073E1" w:rsidP="00FC5E0A">
            <w:pPr>
              <w:keepNext/>
              <w:keepLines/>
              <w:adjustRightInd w:val="0"/>
              <w:snapToGrid w:val="0"/>
              <w:rPr>
                <w:rFonts w:ascii="宋体" w:eastAsia="宋体" w:hAnsi="宋体"/>
                <w:sz w:val="21"/>
                <w:szCs w:val="21"/>
              </w:rPr>
            </w:pPr>
            <w:r>
              <w:rPr>
                <w:rFonts w:ascii="宋体" w:eastAsia="宋体" w:hAnsi="宋体" w:hint="eastAsia"/>
                <w:sz w:val="21"/>
                <w:szCs w:val="21"/>
              </w:rPr>
              <w:t xml:space="preserve">                                                                                          评审日期：</w:t>
            </w:r>
            <w:r w:rsidR="00D41D6F">
              <w:rPr>
                <w:rFonts w:ascii="宋体" w:eastAsia="宋体" w:hAnsi="宋体"/>
                <w:sz w:val="21"/>
                <w:szCs w:val="21"/>
              </w:rPr>
              <w:t>2019</w:t>
            </w:r>
            <w:r>
              <w:rPr>
                <w:rFonts w:ascii="宋体" w:eastAsia="宋体" w:hAnsi="宋体" w:hint="eastAsia"/>
                <w:sz w:val="21"/>
                <w:szCs w:val="21"/>
              </w:rPr>
              <w:t>年</w:t>
            </w:r>
            <w:r w:rsidR="001C7C6D">
              <w:rPr>
                <w:rFonts w:ascii="宋体" w:eastAsia="宋体" w:hAnsi="宋体"/>
                <w:sz w:val="21"/>
                <w:szCs w:val="21"/>
              </w:rPr>
              <w:t>8</w:t>
            </w:r>
            <w:r>
              <w:rPr>
                <w:rFonts w:ascii="宋体" w:eastAsia="宋体" w:hAnsi="宋体" w:hint="eastAsia"/>
                <w:sz w:val="21"/>
                <w:szCs w:val="21"/>
              </w:rPr>
              <w:t>月</w:t>
            </w:r>
            <w:r w:rsidR="001C7C6D">
              <w:rPr>
                <w:rFonts w:ascii="宋体" w:eastAsia="宋体" w:hAnsi="宋体"/>
                <w:sz w:val="21"/>
                <w:szCs w:val="21"/>
              </w:rPr>
              <w:t>3</w:t>
            </w:r>
            <w:r>
              <w:rPr>
                <w:rFonts w:ascii="宋体" w:eastAsia="宋体" w:hAnsi="宋体" w:hint="eastAsia"/>
                <w:sz w:val="21"/>
                <w:szCs w:val="21"/>
              </w:rPr>
              <w:t>日</w:t>
            </w:r>
          </w:p>
        </w:tc>
      </w:tr>
    </w:tbl>
    <w:p w:rsidR="00430C85" w:rsidRDefault="00B073E1">
      <w:pPr>
        <w:adjustRightInd w:val="0"/>
        <w:snapToGrid w:val="0"/>
        <w:spacing w:line="288" w:lineRule="auto"/>
        <w:rPr>
          <w:rFonts w:ascii="宋体" w:eastAsia="宋体" w:hAnsi="宋体"/>
          <w:sz w:val="21"/>
        </w:rPr>
      </w:pPr>
      <w:r>
        <w:rPr>
          <w:rFonts w:ascii="宋体" w:eastAsia="宋体" w:hAnsi="宋体" w:hint="eastAsia"/>
          <w:sz w:val="21"/>
        </w:rPr>
        <w:t>注：1.符合，指的是评审专家判定某一项指标所涉及的内容能够反映制定环境应急预案的企业开展了该项工作，且工作全面、深入、质量高；部分</w:t>
      </w:r>
    </w:p>
    <w:p w:rsidR="00430C85" w:rsidRDefault="00B073E1">
      <w:pPr>
        <w:adjustRightInd w:val="0"/>
        <w:snapToGrid w:val="0"/>
        <w:spacing w:line="288" w:lineRule="auto"/>
        <w:rPr>
          <w:rFonts w:ascii="宋体" w:eastAsia="宋体" w:hAnsi="宋体"/>
          <w:sz w:val="21"/>
        </w:rPr>
      </w:pPr>
      <w:r>
        <w:rPr>
          <w:rFonts w:ascii="宋体" w:eastAsia="宋体" w:hAnsi="宋体" w:hint="eastAsia"/>
          <w:sz w:val="21"/>
        </w:rPr>
        <w:t xml:space="preserve">      符合，指的是评审专家判定企业开展了该项工作，但工作不全面、不深入或质量不高；不符合，指的是评审人员判定企业未开展该项工作，</w:t>
      </w:r>
    </w:p>
    <w:p w:rsidR="00430C85" w:rsidRDefault="00B073E1">
      <w:pPr>
        <w:adjustRightInd w:val="0"/>
        <w:snapToGrid w:val="0"/>
        <w:spacing w:line="288" w:lineRule="auto"/>
        <w:rPr>
          <w:rFonts w:ascii="宋体" w:eastAsia="宋体" w:hAnsi="宋体"/>
          <w:sz w:val="21"/>
        </w:rPr>
      </w:pPr>
      <w:r>
        <w:rPr>
          <w:rFonts w:ascii="宋体" w:eastAsia="宋体" w:hAnsi="宋体" w:hint="eastAsia"/>
          <w:sz w:val="21"/>
        </w:rPr>
        <w:t xml:space="preserve">      或工作有重大疏漏、流于形式或质量差。</w:t>
      </w:r>
    </w:p>
    <w:p w:rsidR="00430C85" w:rsidRDefault="00B073E1">
      <w:pPr>
        <w:adjustRightInd w:val="0"/>
        <w:snapToGrid w:val="0"/>
        <w:spacing w:line="288" w:lineRule="auto"/>
        <w:rPr>
          <w:rFonts w:ascii="宋体" w:eastAsia="宋体" w:hAnsi="宋体"/>
          <w:sz w:val="21"/>
        </w:rPr>
      </w:pPr>
      <w:r>
        <w:rPr>
          <w:rFonts w:ascii="宋体" w:eastAsia="宋体" w:hAnsi="宋体" w:hint="eastAsia"/>
          <w:sz w:val="21"/>
        </w:rPr>
        <w:t xml:space="preserve">    2.</w:t>
      </w:r>
      <w:proofErr w:type="gramStart"/>
      <w:r>
        <w:rPr>
          <w:rFonts w:ascii="宋体" w:eastAsia="宋体" w:hAnsi="宋体" w:hint="eastAsia"/>
          <w:sz w:val="21"/>
        </w:rPr>
        <w:t>赋分原则</w:t>
      </w:r>
      <w:proofErr w:type="gramEnd"/>
      <w:r>
        <w:rPr>
          <w:rFonts w:ascii="宋体" w:eastAsia="宋体" w:hAnsi="宋体" w:hint="eastAsia"/>
          <w:sz w:val="21"/>
        </w:rPr>
        <w:t>：“符合”得2分、“部分符合”得1分、“不符合”得0分；其中标注a的指标得分按“符合”得1分、“部分符合”得0.5分、“不</w:t>
      </w:r>
    </w:p>
    <w:p w:rsidR="00430C85" w:rsidRDefault="00B073E1">
      <w:pPr>
        <w:adjustRightInd w:val="0"/>
        <w:snapToGrid w:val="0"/>
        <w:spacing w:line="288" w:lineRule="auto"/>
        <w:rPr>
          <w:rFonts w:ascii="宋体" w:eastAsia="宋体" w:hAnsi="宋体"/>
          <w:sz w:val="21"/>
        </w:rPr>
      </w:pPr>
      <w:r>
        <w:rPr>
          <w:rFonts w:ascii="宋体" w:eastAsia="宋体" w:hAnsi="宋体" w:hint="eastAsia"/>
          <w:sz w:val="21"/>
        </w:rPr>
        <w:t xml:space="preserve">      符合</w:t>
      </w:r>
      <w:proofErr w:type="gramStart"/>
      <w:r>
        <w:rPr>
          <w:rFonts w:ascii="宋体" w:eastAsia="宋体" w:hAnsi="宋体" w:hint="eastAsia"/>
          <w:sz w:val="21"/>
        </w:rPr>
        <w:t>”</w:t>
      </w:r>
      <w:proofErr w:type="gramEnd"/>
      <w:r>
        <w:rPr>
          <w:rFonts w:ascii="宋体" w:eastAsia="宋体" w:hAnsi="宋体" w:hint="eastAsia"/>
          <w:sz w:val="21"/>
        </w:rPr>
        <w:t>得0分计，标注b的指标得分按“符合”得3分、“部分符合”得1.5分、“不符合”得0分计。</w:t>
      </w:r>
    </w:p>
    <w:p w:rsidR="00430C85" w:rsidRDefault="00B073E1">
      <w:pPr>
        <w:adjustRightInd w:val="0"/>
        <w:snapToGrid w:val="0"/>
        <w:spacing w:line="288" w:lineRule="auto"/>
        <w:rPr>
          <w:rFonts w:ascii="宋体" w:eastAsia="宋体" w:hAnsi="宋体"/>
          <w:sz w:val="21"/>
        </w:rPr>
      </w:pPr>
      <w:r>
        <w:rPr>
          <w:rFonts w:ascii="宋体" w:eastAsia="宋体" w:hAnsi="宋体" w:hint="eastAsia"/>
          <w:sz w:val="21"/>
        </w:rPr>
        <w:t xml:space="preserve">    3.指标调整：标注</w:t>
      </w:r>
      <w:r>
        <w:rPr>
          <w:rFonts w:ascii="宋体" w:eastAsia="宋体" w:hAnsi="宋体"/>
          <w:sz w:val="21"/>
        </w:rPr>
        <w:t>c</w:t>
      </w:r>
      <w:r>
        <w:rPr>
          <w:rFonts w:ascii="宋体" w:eastAsia="宋体" w:hAnsi="宋体" w:hint="eastAsia"/>
          <w:sz w:val="21"/>
        </w:rPr>
        <w:t>的指标或项目中的部分指标，评审组可以对不适用的进行调整。</w:t>
      </w:r>
    </w:p>
    <w:p w:rsidR="00430C85" w:rsidRDefault="00B073E1">
      <w:pPr>
        <w:adjustRightInd w:val="0"/>
        <w:snapToGrid w:val="0"/>
        <w:spacing w:line="288" w:lineRule="auto"/>
        <w:rPr>
          <w:rFonts w:ascii="宋体" w:eastAsia="宋体" w:hAnsi="宋体"/>
          <w:sz w:val="21"/>
        </w:rPr>
      </w:pPr>
      <w:r>
        <w:rPr>
          <w:rFonts w:ascii="宋体" w:eastAsia="宋体" w:hAnsi="宋体" w:hint="eastAsia"/>
          <w:sz w:val="21"/>
        </w:rPr>
        <w:t xml:space="preserve">    4.“一票否决”项不计入评审得分。</w:t>
      </w:r>
    </w:p>
    <w:p w:rsidR="00430C85" w:rsidRDefault="00B073E1" w:rsidP="004B5D60">
      <w:pPr>
        <w:adjustRightInd w:val="0"/>
        <w:snapToGrid w:val="0"/>
        <w:spacing w:line="288" w:lineRule="auto"/>
      </w:pPr>
      <w:r>
        <w:rPr>
          <w:rFonts w:ascii="宋体" w:eastAsia="宋体" w:hAnsi="宋体" w:hint="eastAsia"/>
          <w:sz w:val="21"/>
        </w:rPr>
        <w:t xml:space="preserve">    5.指标说明供参考。</w:t>
      </w:r>
    </w:p>
    <w:sectPr w:rsidR="00430C85" w:rsidSect="00335BA4">
      <w:footerReference w:type="default" r:id="rId8"/>
      <w:pgSz w:w="16839" w:h="11907" w:orient="landscape" w:code="9"/>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CC" w:rsidRDefault="00AF5CCC">
      <w:r>
        <w:separator/>
      </w:r>
    </w:p>
  </w:endnote>
  <w:endnote w:type="continuationSeparator" w:id="0">
    <w:p w:rsidR="00AF5CCC" w:rsidRDefault="00AF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07" w:rsidRDefault="003D0507">
    <w:pPr>
      <w:pStyle w:val="a3"/>
      <w:framePr w:wrap="around" w:vAnchor="text" w:hAnchor="margin" w:xAlign="center" w:y="1"/>
      <w:rPr>
        <w:rStyle w:val="a4"/>
        <w:rFonts w:ascii="宋体" w:eastAsia="宋体" w:hAnsi="宋体"/>
        <w:sz w:val="28"/>
        <w:szCs w:val="28"/>
      </w:rPr>
    </w:pPr>
    <w:r>
      <w:rPr>
        <w:rStyle w:val="a4"/>
        <w:rFonts w:ascii="宋体" w:eastAsia="宋体" w:hAnsi="宋体" w:hint="eastAsia"/>
        <w:sz w:val="28"/>
        <w:szCs w:val="28"/>
      </w:rPr>
      <w:t>—</w:t>
    </w:r>
    <w:r>
      <w:rPr>
        <w:rStyle w:val="a4"/>
        <w:rFonts w:ascii="宋体" w:eastAsia="宋体" w:hAnsi="宋体" w:hint="eastAsia"/>
        <w:sz w:val="20"/>
        <w:szCs w:val="20"/>
      </w:rPr>
      <w:t xml:space="preserve">  </w:t>
    </w:r>
    <w:r>
      <w:rPr>
        <w:rStyle w:val="a4"/>
        <w:rFonts w:ascii="宋体" w:eastAsia="宋体" w:hAnsi="宋体"/>
        <w:sz w:val="26"/>
        <w:szCs w:val="26"/>
      </w:rPr>
      <w:fldChar w:fldCharType="begin"/>
    </w:r>
    <w:r>
      <w:rPr>
        <w:rStyle w:val="a4"/>
        <w:rFonts w:ascii="宋体" w:eastAsia="宋体" w:hAnsi="宋体"/>
        <w:sz w:val="26"/>
        <w:szCs w:val="26"/>
      </w:rPr>
      <w:instrText xml:space="preserve">PAGE  </w:instrText>
    </w:r>
    <w:r>
      <w:rPr>
        <w:rStyle w:val="a4"/>
        <w:rFonts w:ascii="宋体" w:eastAsia="宋体" w:hAnsi="宋体"/>
        <w:sz w:val="26"/>
        <w:szCs w:val="26"/>
      </w:rPr>
      <w:fldChar w:fldCharType="separate"/>
    </w:r>
    <w:r w:rsidR="00F53A8B">
      <w:rPr>
        <w:rStyle w:val="a4"/>
        <w:rFonts w:ascii="宋体" w:eastAsia="宋体" w:hAnsi="宋体"/>
        <w:noProof/>
        <w:sz w:val="26"/>
        <w:szCs w:val="26"/>
      </w:rPr>
      <w:t>11</w:t>
    </w:r>
    <w:r>
      <w:rPr>
        <w:rStyle w:val="a4"/>
        <w:rFonts w:ascii="宋体" w:eastAsia="宋体" w:hAnsi="宋体"/>
        <w:sz w:val="26"/>
        <w:szCs w:val="26"/>
      </w:rPr>
      <w:fldChar w:fldCharType="end"/>
    </w:r>
    <w:r>
      <w:rPr>
        <w:rStyle w:val="a4"/>
        <w:rFonts w:ascii="宋体" w:eastAsia="宋体" w:hAnsi="宋体" w:hint="eastAsia"/>
        <w:sz w:val="20"/>
        <w:szCs w:val="20"/>
      </w:rPr>
      <w:t xml:space="preserve">  </w:t>
    </w:r>
    <w:r>
      <w:rPr>
        <w:rStyle w:val="a4"/>
        <w:rFonts w:ascii="宋体" w:eastAsia="宋体" w:hAnsi="宋体" w:hint="eastAsia"/>
        <w:sz w:val="28"/>
        <w:szCs w:val="28"/>
      </w:rPr>
      <w:t>—</w:t>
    </w:r>
  </w:p>
  <w:p w:rsidR="003D0507" w:rsidRDefault="003D0507">
    <w:pPr>
      <w:pStyle w:val="a3"/>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CC" w:rsidRDefault="00AF5CCC">
      <w:r>
        <w:separator/>
      </w:r>
    </w:p>
  </w:footnote>
  <w:footnote w:type="continuationSeparator" w:id="0">
    <w:p w:rsidR="00AF5CCC" w:rsidRDefault="00AF5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F58A0"/>
    <w:rsid w:val="000274D0"/>
    <w:rsid w:val="00053446"/>
    <w:rsid w:val="00074673"/>
    <w:rsid w:val="000821C0"/>
    <w:rsid w:val="001A21CC"/>
    <w:rsid w:val="001C7C6D"/>
    <w:rsid w:val="00234D3B"/>
    <w:rsid w:val="0025213F"/>
    <w:rsid w:val="00255DD4"/>
    <w:rsid w:val="00264444"/>
    <w:rsid w:val="00335BA4"/>
    <w:rsid w:val="00365177"/>
    <w:rsid w:val="003D0507"/>
    <w:rsid w:val="003E7B50"/>
    <w:rsid w:val="004017CA"/>
    <w:rsid w:val="004109A1"/>
    <w:rsid w:val="00430C85"/>
    <w:rsid w:val="004B5D60"/>
    <w:rsid w:val="004E4EDF"/>
    <w:rsid w:val="004F3AAF"/>
    <w:rsid w:val="005833DB"/>
    <w:rsid w:val="005B6F9F"/>
    <w:rsid w:val="006F50E3"/>
    <w:rsid w:val="0074024B"/>
    <w:rsid w:val="008777F5"/>
    <w:rsid w:val="008E1AB4"/>
    <w:rsid w:val="00961918"/>
    <w:rsid w:val="00996DB7"/>
    <w:rsid w:val="009A60FA"/>
    <w:rsid w:val="00A16B41"/>
    <w:rsid w:val="00AB1726"/>
    <w:rsid w:val="00AF5CCC"/>
    <w:rsid w:val="00B073E1"/>
    <w:rsid w:val="00B5740B"/>
    <w:rsid w:val="00B7399D"/>
    <w:rsid w:val="00B76FB7"/>
    <w:rsid w:val="00B84D14"/>
    <w:rsid w:val="00B91E54"/>
    <w:rsid w:val="00C310CC"/>
    <w:rsid w:val="00C311E8"/>
    <w:rsid w:val="00CB3B58"/>
    <w:rsid w:val="00D37D35"/>
    <w:rsid w:val="00D41D6F"/>
    <w:rsid w:val="00D544FE"/>
    <w:rsid w:val="00DF081F"/>
    <w:rsid w:val="00E0284A"/>
    <w:rsid w:val="00E1350D"/>
    <w:rsid w:val="00E467D4"/>
    <w:rsid w:val="00F53A8B"/>
    <w:rsid w:val="00FC5E0A"/>
    <w:rsid w:val="118F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kern w:val="0"/>
      <w:sz w:val="18"/>
      <w:szCs w:val="18"/>
    </w:rPr>
  </w:style>
  <w:style w:type="character" w:styleId="a4">
    <w:name w:val="page number"/>
    <w:basedOn w:val="a0"/>
  </w:style>
  <w:style w:type="paragraph" w:customStyle="1" w:styleId="1">
    <w:name w:val="列出段落1"/>
    <w:basedOn w:val="a"/>
    <w:qFormat/>
    <w:pPr>
      <w:ind w:firstLineChars="200" w:firstLine="420"/>
    </w:pPr>
  </w:style>
  <w:style w:type="paragraph" w:styleId="a5">
    <w:name w:val="Balloon Text"/>
    <w:basedOn w:val="a"/>
    <w:link w:val="Char"/>
    <w:rsid w:val="00B7399D"/>
    <w:rPr>
      <w:sz w:val="18"/>
      <w:szCs w:val="18"/>
    </w:rPr>
  </w:style>
  <w:style w:type="character" w:customStyle="1" w:styleId="Char">
    <w:name w:val="批注框文本 Char"/>
    <w:basedOn w:val="a0"/>
    <w:link w:val="a5"/>
    <w:rsid w:val="00B7399D"/>
    <w:rPr>
      <w:rFonts w:ascii="Calibri" w:hAnsi="Calibri"/>
      <w:kern w:val="2"/>
      <w:sz w:val="18"/>
      <w:szCs w:val="18"/>
    </w:rPr>
  </w:style>
  <w:style w:type="paragraph" w:styleId="a6">
    <w:name w:val="header"/>
    <w:basedOn w:val="a"/>
    <w:link w:val="Char0"/>
    <w:rsid w:val="00C311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311E8"/>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kern w:val="0"/>
      <w:sz w:val="18"/>
      <w:szCs w:val="18"/>
    </w:rPr>
  </w:style>
  <w:style w:type="character" w:styleId="a4">
    <w:name w:val="page number"/>
    <w:basedOn w:val="a0"/>
  </w:style>
  <w:style w:type="paragraph" w:customStyle="1" w:styleId="1">
    <w:name w:val="列出段落1"/>
    <w:basedOn w:val="a"/>
    <w:qFormat/>
    <w:pPr>
      <w:ind w:firstLineChars="200" w:firstLine="420"/>
    </w:pPr>
  </w:style>
  <w:style w:type="paragraph" w:styleId="a5">
    <w:name w:val="Balloon Text"/>
    <w:basedOn w:val="a"/>
    <w:link w:val="Char"/>
    <w:rsid w:val="00B7399D"/>
    <w:rPr>
      <w:sz w:val="18"/>
      <w:szCs w:val="18"/>
    </w:rPr>
  </w:style>
  <w:style w:type="character" w:customStyle="1" w:styleId="Char">
    <w:name w:val="批注框文本 Char"/>
    <w:basedOn w:val="a0"/>
    <w:link w:val="a5"/>
    <w:rsid w:val="00B7399D"/>
    <w:rPr>
      <w:rFonts w:ascii="Calibri" w:hAnsi="Calibri"/>
      <w:kern w:val="2"/>
      <w:sz w:val="18"/>
      <w:szCs w:val="18"/>
    </w:rPr>
  </w:style>
  <w:style w:type="paragraph" w:styleId="a6">
    <w:name w:val="header"/>
    <w:basedOn w:val="a"/>
    <w:link w:val="Char0"/>
    <w:rsid w:val="00C311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311E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1156</Words>
  <Characters>6590</Characters>
  <Application>Microsoft Office Word</Application>
  <DocSecurity>0</DocSecurity>
  <Lines>54</Lines>
  <Paragraphs>15</Paragraphs>
  <ScaleCrop>false</ScaleCrop>
  <Company>china</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白钰</dc:creator>
  <cp:lastModifiedBy>zhangji</cp:lastModifiedBy>
  <cp:revision>39</cp:revision>
  <cp:lastPrinted>2018-04-10T02:20:00Z</cp:lastPrinted>
  <dcterms:created xsi:type="dcterms:W3CDTF">2018-02-12T01:44:00Z</dcterms:created>
  <dcterms:modified xsi:type="dcterms:W3CDTF">2019-08-05T05:58:00Z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