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hAnsi="华文中宋" w:eastAsia="方正小标宋_GBK"/>
          <w:szCs w:val="32"/>
        </w:rPr>
      </w:pPr>
      <w:r>
        <w:rPr>
          <w:rFonts w:hint="eastAsia"/>
          <w:u w:val="single"/>
        </w:rPr>
        <w:t>中国石油天然气股份有限公司天津销售分公司津南泰和加油站</w:t>
      </w:r>
      <w:r>
        <w:rPr>
          <w:rFonts w:hint="eastAsia" w:ascii="方正小标宋_GBK" w:hAnsi="华文中宋" w:eastAsia="方正小标宋_GBK"/>
          <w:szCs w:val="32"/>
        </w:rPr>
        <w:t>突发环境事件应急预案评审意见表</w:t>
      </w:r>
    </w:p>
    <w:tbl>
      <w:tblPr>
        <w:tblStyle w:val="5"/>
        <w:tblW w:w="960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606" w:type="dxa"/>
            <w:vAlign w:val="center"/>
          </w:tcPr>
          <w:p>
            <w:pPr>
              <w:adjustRightInd w:val="0"/>
              <w:snapToGrid w:val="0"/>
              <w:jc w:val="left"/>
              <w:rPr>
                <w:rFonts w:ascii="宋体" w:hAnsi="宋体" w:eastAsia="宋体"/>
                <w:sz w:val="21"/>
                <w:szCs w:val="21"/>
                <w:u w:val="single"/>
              </w:rPr>
            </w:pPr>
            <w:r>
              <w:rPr>
                <w:rFonts w:hint="eastAsia" w:ascii="宋体" w:hAnsi="宋体" w:eastAsia="宋体"/>
                <w:sz w:val="21"/>
                <w:szCs w:val="21"/>
              </w:rPr>
              <w:t>评审时间</w:t>
            </w:r>
            <w:r>
              <w:rPr>
                <w:rFonts w:hint="eastAsia" w:ascii="宋体" w:hAnsi="宋体" w:eastAsia="宋体"/>
                <w:sz w:val="21"/>
                <w:szCs w:val="21"/>
                <w:u w:val="single"/>
              </w:rPr>
              <w:t>：</w:t>
            </w:r>
            <w:r>
              <w:rPr>
                <w:rFonts w:hint="eastAsia" w:ascii="宋体" w:cs="宋体"/>
                <w:kern w:val="0"/>
                <w:sz w:val="21"/>
                <w:szCs w:val="21"/>
                <w:u w:val="single"/>
              </w:rPr>
              <w:t>201</w:t>
            </w:r>
            <w:r>
              <w:rPr>
                <w:rFonts w:ascii="宋体" w:cs="宋体"/>
                <w:kern w:val="0"/>
                <w:sz w:val="21"/>
                <w:szCs w:val="21"/>
                <w:u w:val="single"/>
              </w:rPr>
              <w:t>9</w:t>
            </w:r>
            <w:r>
              <w:rPr>
                <w:rFonts w:hint="eastAsia" w:ascii="宋体" w:cs="宋体"/>
                <w:kern w:val="0"/>
                <w:sz w:val="21"/>
                <w:szCs w:val="21"/>
                <w:u w:val="single"/>
              </w:rPr>
              <w:t>年8月5日</w:t>
            </w:r>
            <w:r>
              <w:rPr>
                <w:rFonts w:ascii="宋体" w:hAnsi="宋体" w:eastAsia="宋体"/>
                <w:sz w:val="21"/>
                <w:szCs w:val="21"/>
                <w:u w:val="single"/>
              </w:rPr>
              <w:t xml:space="preserve">                             </w:t>
            </w:r>
            <w:r>
              <w:rPr>
                <w:rFonts w:hint="eastAsia" w:ascii="宋体" w:hAnsi="宋体" w:eastAsia="宋体"/>
                <w:sz w:val="21"/>
                <w:szCs w:val="21"/>
              </w:rPr>
              <w:t>地点：</w:t>
            </w:r>
            <w:r>
              <w:rPr>
                <w:rFonts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606" w:type="dxa"/>
            <w:vAlign w:val="center"/>
          </w:tcPr>
          <w:p>
            <w:pPr>
              <w:adjustRightInd w:val="0"/>
              <w:snapToGrid w:val="0"/>
              <w:rPr>
                <w:rFonts w:ascii="宋体" w:hAnsi="宋体" w:eastAsia="宋体"/>
                <w:sz w:val="21"/>
                <w:szCs w:val="21"/>
              </w:rPr>
            </w:pPr>
            <w:r>
              <w:rPr>
                <w:rFonts w:hint="eastAsia" w:ascii="宋体" w:hAnsi="宋体" w:eastAsia="宋体"/>
                <w:sz w:val="21"/>
                <w:szCs w:val="21"/>
              </w:rPr>
              <w:t>评审方式：</w:t>
            </w:r>
            <w:r>
              <w:rPr>
                <w:rFonts w:hint="eastAsia" w:ascii="宋体" w:cs="宋体"/>
                <w:kern w:val="0"/>
                <w:sz w:val="21"/>
                <w:szCs w:val="21"/>
              </w:rPr>
              <w:t>√</w:t>
            </w:r>
            <w:r>
              <w:rPr>
                <w:rFonts w:hint="eastAsia" w:ascii="宋体" w:hAnsi="宋体" w:eastAsia="宋体"/>
                <w:sz w:val="21"/>
                <w:szCs w:val="21"/>
              </w:rPr>
              <w:t>函审，□会议评审，□函审、会议评审结合，□其他</w:t>
            </w:r>
            <w:r>
              <w:rPr>
                <w:rFonts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606" w:type="dxa"/>
            <w:vAlign w:val="center"/>
          </w:tcPr>
          <w:p>
            <w:pPr>
              <w:adjustRightInd w:val="0"/>
              <w:snapToGrid w:val="0"/>
              <w:rPr>
                <w:rFonts w:ascii="宋体" w:hAnsi="宋体" w:eastAsia="宋体"/>
                <w:sz w:val="21"/>
                <w:szCs w:val="21"/>
              </w:rPr>
            </w:pPr>
            <w:r>
              <w:rPr>
                <w:rFonts w:hint="eastAsia" w:ascii="宋体" w:hAnsi="宋体" w:eastAsia="宋体"/>
                <w:sz w:val="21"/>
                <w:szCs w:val="21"/>
              </w:rPr>
              <w:t>评审结论：√通过评审，□原则通过但需进行修改复核，□未通过评审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jc w:val="center"/>
        </w:trPr>
        <w:tc>
          <w:tcPr>
            <w:tcW w:w="9606" w:type="dxa"/>
            <w:vAlign w:val="center"/>
          </w:tcPr>
          <w:p>
            <w:pPr>
              <w:adjustRightInd w:val="0"/>
              <w:snapToGrid w:val="0"/>
              <w:spacing w:line="260" w:lineRule="exact"/>
              <w:rPr>
                <w:rFonts w:ascii="宋体" w:hAnsi="宋体"/>
                <w:sz w:val="21"/>
                <w:szCs w:val="21"/>
              </w:rPr>
            </w:pPr>
            <w:r>
              <w:rPr>
                <w:rFonts w:hint="eastAsia" w:ascii="宋体" w:hAnsi="宋体"/>
                <w:sz w:val="21"/>
                <w:szCs w:val="21"/>
              </w:rPr>
              <w:t>评审过程：</w:t>
            </w:r>
          </w:p>
          <w:p>
            <w:pPr>
              <w:adjustRightInd w:val="0"/>
              <w:snapToGrid w:val="0"/>
              <w:spacing w:line="300" w:lineRule="auto"/>
              <w:ind w:firstLine="420" w:firstLineChars="200"/>
              <w:rPr>
                <w:rFonts w:ascii="宋体" w:hAnsi="宋体" w:eastAsia="宋体"/>
                <w:sz w:val="21"/>
                <w:szCs w:val="21"/>
              </w:rPr>
            </w:pPr>
            <w:r>
              <w:rPr>
                <w:rFonts w:hint="eastAsia" w:ascii="宋体" w:hAnsi="宋体" w:eastAsia="宋体"/>
                <w:sz w:val="21"/>
                <w:szCs w:val="21"/>
              </w:rPr>
              <w:t>中国石油天然气股份有限公司天津销售分公司津南泰和加油站组织编写了《中国石油天然气股份有限公司天津销售分公司津南泰和加油站突发环境事件应急预案评》（以下简称“应急预案”），有关专家采用函审形式对该应急预案（其中包括环境风险评估报告、应急资源调查报告、环境应急预案及其编制说明等）进行了审查。</w:t>
            </w:r>
          </w:p>
          <w:p>
            <w:pPr>
              <w:adjustRightInd w:val="0"/>
              <w:snapToGrid w:val="0"/>
              <w:spacing w:line="300" w:lineRule="auto"/>
              <w:rPr>
                <w:rFonts w:ascii="宋体" w:hAnsi="宋体" w:eastAsia="宋体"/>
                <w:sz w:val="21"/>
                <w:szCs w:val="21"/>
              </w:rPr>
            </w:pPr>
            <w:r>
              <w:rPr>
                <w:rFonts w:hint="eastAsia" w:ascii="宋体" w:hAnsi="宋体" w:eastAsia="宋体"/>
                <w:sz w:val="21"/>
                <w:szCs w:val="21"/>
              </w:rPr>
              <w:t>总体评价：</w:t>
            </w:r>
          </w:p>
          <w:p>
            <w:pPr>
              <w:adjustRightInd w:val="0"/>
              <w:snapToGrid w:val="0"/>
              <w:spacing w:line="260" w:lineRule="exact"/>
              <w:ind w:firstLine="420" w:firstLineChars="200"/>
              <w:rPr>
                <w:rFonts w:ascii="宋体" w:hAnsi="宋体"/>
                <w:sz w:val="21"/>
                <w:szCs w:val="21"/>
              </w:rPr>
            </w:pPr>
            <w:r>
              <w:rPr>
                <w:rFonts w:hint="eastAsia" w:ascii="宋体" w:hAnsi="宋体" w:eastAsia="宋体"/>
                <w:sz w:val="21"/>
                <w:szCs w:val="21"/>
              </w:rPr>
              <w:t>企业突发环境事件风险等级评估基本准确，突发环境事件应急预案及其环境风险评估报告和环境应急资源调査报告编制格式和内容总体符合要求，环境应急预案的编制程序较规范，应急预案基本能满足企业突发环境事件的应对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jc w:val="center"/>
        </w:trPr>
        <w:tc>
          <w:tcPr>
            <w:tcW w:w="9606" w:type="dxa"/>
            <w:vAlign w:val="center"/>
          </w:tcPr>
          <w:p>
            <w:pPr>
              <w:adjustRightInd w:val="0"/>
              <w:snapToGrid w:val="0"/>
              <w:spacing w:line="240" w:lineRule="exact"/>
              <w:rPr>
                <w:rFonts w:ascii="宋体" w:hAnsi="宋体"/>
                <w:color w:val="000000" w:themeColor="text1"/>
                <w:sz w:val="21"/>
                <w:szCs w:val="21"/>
              </w:rPr>
            </w:pPr>
            <w:r>
              <w:rPr>
                <w:rFonts w:hint="eastAsia" w:ascii="宋体" w:hAnsi="宋体"/>
                <w:color w:val="000000" w:themeColor="text1"/>
                <w:sz w:val="21"/>
                <w:szCs w:val="21"/>
              </w:rPr>
              <w:t>问题清单：</w:t>
            </w:r>
          </w:p>
          <w:p>
            <w:pPr>
              <w:adjustRightInd w:val="0"/>
              <w:snapToGrid w:val="0"/>
              <w:spacing w:line="360" w:lineRule="auto"/>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一、编制说明及应急资源调查</w:t>
            </w:r>
          </w:p>
          <w:p>
            <w:pPr>
              <w:adjustRightInd w:val="0"/>
              <w:snapToGrid w:val="0"/>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1、意见征求会参会人员应重点邀请目标人群,</w:t>
            </w:r>
            <w:r>
              <w:rPr>
                <w:rFonts w:ascii="宋体" w:hAnsi="宋体"/>
                <w:color w:val="000000" w:themeColor="text1"/>
                <w:sz w:val="21"/>
                <w:szCs w:val="21"/>
              </w:rPr>
              <w:t>公司</w:t>
            </w:r>
            <w:r>
              <w:rPr>
                <w:rFonts w:hint="eastAsia" w:ascii="宋体" w:hAnsi="宋体"/>
                <w:color w:val="000000" w:themeColor="text1"/>
                <w:sz w:val="21"/>
                <w:szCs w:val="21"/>
              </w:rPr>
              <w:t>关键岗位、</w:t>
            </w:r>
            <w:r>
              <w:rPr>
                <w:rFonts w:ascii="宋体" w:hAnsi="宋体"/>
                <w:color w:val="000000" w:themeColor="text1"/>
                <w:sz w:val="21"/>
                <w:szCs w:val="21"/>
              </w:rPr>
              <w:t>环境保护目标处的居民及本公司企业周边的单位代表</w:t>
            </w:r>
            <w:r>
              <w:rPr>
                <w:rFonts w:hint="eastAsia" w:ascii="宋体" w:hAnsi="宋体"/>
                <w:color w:val="000000" w:themeColor="text1"/>
                <w:sz w:val="21"/>
                <w:szCs w:val="21"/>
              </w:rPr>
              <w:t>；预案桌面推演应明确是否暴露问题，并据此列出解决措施清单，并体现在预案中；</w:t>
            </w:r>
            <w:r>
              <w:rPr>
                <w:rFonts w:ascii="宋体" w:hAnsi="宋体"/>
                <w:color w:val="000000" w:themeColor="text1"/>
                <w:sz w:val="21"/>
                <w:szCs w:val="21"/>
              </w:rPr>
              <w:t xml:space="preserve"> </w:t>
            </w:r>
          </w:p>
          <w:p>
            <w:pPr>
              <w:pStyle w:val="2"/>
              <w:spacing w:line="360" w:lineRule="auto"/>
              <w:ind w:firstLine="420"/>
              <w:rPr>
                <w:rFonts w:ascii="宋体" w:hAnsi="宋体" w:eastAsiaTheme="minorEastAsia"/>
                <w:color w:val="000000" w:themeColor="text1"/>
                <w:sz w:val="21"/>
                <w:szCs w:val="21"/>
              </w:rPr>
            </w:pPr>
            <w:r>
              <w:rPr>
                <w:rFonts w:hint="eastAsia" w:ascii="宋体" w:hAnsi="宋体" w:eastAsiaTheme="minorEastAsia"/>
                <w:color w:val="000000" w:themeColor="text1"/>
                <w:sz w:val="21"/>
                <w:szCs w:val="21"/>
              </w:rPr>
              <w:t>2、补充外部应急单位联系电话，并确保其有效性；</w:t>
            </w:r>
          </w:p>
          <w:p>
            <w:pPr>
              <w:pStyle w:val="2"/>
              <w:spacing w:line="360" w:lineRule="auto"/>
              <w:ind w:firstLine="420"/>
              <w:rPr>
                <w:rFonts w:ascii="宋体" w:hAnsi="宋体" w:eastAsiaTheme="minorEastAsia"/>
                <w:color w:val="000000" w:themeColor="text1"/>
                <w:sz w:val="21"/>
                <w:szCs w:val="21"/>
              </w:rPr>
            </w:pPr>
            <w:r>
              <w:rPr>
                <w:rFonts w:hint="eastAsia" w:ascii="宋体" w:hAnsi="宋体" w:eastAsiaTheme="minorEastAsia"/>
                <w:color w:val="000000" w:themeColor="text1"/>
                <w:sz w:val="21"/>
                <w:szCs w:val="21"/>
              </w:rPr>
              <w:t>二、风险评估及应急预案</w:t>
            </w:r>
          </w:p>
          <w:p>
            <w:pPr>
              <w:adjustRightInd w:val="0"/>
              <w:snapToGrid w:val="0"/>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1、完善编制依据，对引用的法律法规、标准规范等适用性及版本进行筛选、更新。按照天津市机构改革方案，调整各政府管理机构的名称；</w:t>
            </w:r>
          </w:p>
          <w:p>
            <w:pPr>
              <w:pStyle w:val="2"/>
              <w:spacing w:line="360" w:lineRule="auto"/>
              <w:ind w:firstLine="420"/>
              <w:rPr>
                <w:rFonts w:ascii="宋体" w:hAnsi="宋体" w:eastAsiaTheme="minorEastAsia"/>
                <w:color w:val="000000" w:themeColor="text1"/>
                <w:sz w:val="21"/>
                <w:szCs w:val="21"/>
              </w:rPr>
            </w:pPr>
            <w:r>
              <w:rPr>
                <w:rFonts w:hint="eastAsia" w:ascii="宋体" w:hAnsi="宋体" w:eastAsiaTheme="minorEastAsia"/>
                <w:color w:val="000000" w:themeColor="text1"/>
                <w:sz w:val="21"/>
                <w:szCs w:val="21"/>
              </w:rPr>
              <w:t>2、应结合天津地区使用乙醇汽油特点，根据《企业突发环境事件风险分级方法》（HJ941-2018）相关内容进行环境风险物质筛选和判断；</w:t>
            </w:r>
          </w:p>
          <w:p>
            <w:pPr>
              <w:adjustRightInd w:val="0"/>
              <w:snapToGrid w:val="0"/>
              <w:spacing w:line="360" w:lineRule="auto"/>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3、细化加油站地下油罐现有风险防控措施（是否设置为双层储罐），据此完善防控措施差距分析。补充、细化需要补充的应急物资清单（1、明确数量；2、泵）。</w:t>
            </w:r>
          </w:p>
          <w:p>
            <w:pPr>
              <w:adjustRightInd w:val="0"/>
              <w:snapToGrid w:val="0"/>
              <w:spacing w:line="360" w:lineRule="auto"/>
              <w:ind w:firstLine="420" w:firstLineChars="200"/>
              <w:rPr>
                <w:rFonts w:ascii="宋体" w:hAnsi="宋体"/>
                <w:color w:val="000000" w:themeColor="text1"/>
                <w:sz w:val="21"/>
                <w:szCs w:val="21"/>
              </w:rPr>
            </w:pPr>
            <w:r>
              <w:rPr>
                <w:rFonts w:hint="eastAsia" w:ascii="宋体" w:hAnsi="宋体" w:eastAsia="宋体"/>
                <w:color w:val="000000" w:themeColor="text1"/>
                <w:sz w:val="21"/>
                <w:szCs w:val="21"/>
              </w:rPr>
              <w:t>4、</w:t>
            </w:r>
            <w:r>
              <w:rPr>
                <w:rFonts w:hint="eastAsia" w:ascii="宋体" w:hAnsi="宋体"/>
                <w:color w:val="000000" w:themeColor="text1"/>
                <w:sz w:val="21"/>
                <w:szCs w:val="21"/>
              </w:rPr>
              <w:t>完善公司应急组织体系调查，充实储存及生产环节危险物质泄漏及危险废物泄漏各类型事故的处置程序，按响应级别完善相应的处置措施，做到人员、设备物资和措施的对应，并补充与邻近企事业单位的应急联动机制。</w:t>
            </w:r>
          </w:p>
          <w:p>
            <w:pPr>
              <w:adjustRightInd w:val="0"/>
              <w:snapToGrid w:val="0"/>
              <w:spacing w:line="360" w:lineRule="auto"/>
              <w:ind w:firstLine="420" w:firstLineChars="200"/>
              <w:rPr>
                <w:rFonts w:ascii="宋体" w:hAnsi="宋体"/>
                <w:color w:val="000000" w:themeColor="text1"/>
                <w:sz w:val="21"/>
                <w:szCs w:val="21"/>
              </w:rPr>
            </w:pPr>
            <w:r>
              <w:rPr>
                <w:rFonts w:hint="eastAsia" w:ascii="宋体" w:hAnsi="宋体" w:eastAsia="宋体"/>
                <w:color w:val="000000" w:themeColor="text1"/>
                <w:sz w:val="21"/>
                <w:szCs w:val="21"/>
              </w:rPr>
              <w:t>5、明确厂内雨污管网设置情况，雨水和污水排放口数量、位置及管网走向，雨污截转措施，核实事故响应时间、需用物资调用的时间等。</w:t>
            </w:r>
            <w:r>
              <w:rPr>
                <w:rFonts w:hint="eastAsia" w:ascii="宋体" w:hAnsi="宋体"/>
                <w:color w:val="000000" w:themeColor="text1"/>
                <w:sz w:val="21"/>
                <w:szCs w:val="21"/>
              </w:rPr>
              <w:t>重点关注消防水截流和收集，明确事故情况下雨水防控措施的可行及可靠性，应提出相应泄漏应急措施；</w:t>
            </w:r>
          </w:p>
          <w:p>
            <w:pPr>
              <w:adjustRightInd w:val="0"/>
              <w:snapToGrid w:val="0"/>
              <w:spacing w:line="360" w:lineRule="auto"/>
              <w:ind w:firstLine="420" w:firstLineChars="200"/>
              <w:rPr>
                <w:rFonts w:ascii="宋体" w:hAnsi="宋体"/>
                <w:color w:val="000000" w:themeColor="text1"/>
                <w:sz w:val="21"/>
                <w:szCs w:val="21"/>
              </w:rPr>
            </w:pPr>
            <w:r>
              <w:rPr>
                <w:rFonts w:hint="eastAsia" w:ascii="宋体" w:hAnsi="宋体" w:eastAsia="宋体"/>
                <w:color w:val="000000" w:themeColor="text1"/>
                <w:sz w:val="21"/>
                <w:szCs w:val="21"/>
              </w:rPr>
              <w:t>6、细化企业应急预案与地方政府、厂内其他预案的衔接情况等。结合调整后的情景设置。完善应急监测原则，细化应急监测计划，优化应急监测因子。补充雨水环境受体示意图等。</w:t>
            </w:r>
          </w:p>
          <w:p>
            <w:pPr>
              <w:adjustRightInd w:val="0"/>
              <w:snapToGrid w:val="0"/>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根据本企业环境事故特点实事求是完善明确各小组职能，各小组人员设置应充分考虑应急状态下的有效性，现场应急处置操作人员应以基层员工为主。结合企业设定的应急救援队伍及现有应急装备设施，分事故类型完善应急处置程序并建立应急处置卡。</w:t>
            </w:r>
          </w:p>
          <w:p>
            <w:pPr>
              <w:pStyle w:val="2"/>
              <w:ind w:firstLine="420"/>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9606" w:type="dxa"/>
          </w:tcPr>
          <w:p>
            <w:pPr>
              <w:adjustRightInd w:val="0"/>
              <w:snapToGrid w:val="0"/>
              <w:rPr>
                <w:rFonts w:ascii="宋体" w:hAnsi="宋体" w:eastAsia="宋体"/>
                <w:sz w:val="21"/>
                <w:szCs w:val="21"/>
              </w:rPr>
            </w:pPr>
            <w:r>
              <w:rPr>
                <w:rFonts w:hint="eastAsia" w:ascii="宋体" w:hAnsi="宋体" w:eastAsia="宋体"/>
                <w:sz w:val="21"/>
                <w:szCs w:val="21"/>
              </w:rPr>
              <w:t>修改意见和建议：</w:t>
            </w:r>
          </w:p>
          <w:p>
            <w:pPr>
              <w:adjustRightInd w:val="0"/>
              <w:snapToGrid w:val="0"/>
              <w:ind w:firstLine="420" w:firstLineChars="200"/>
              <w:rPr>
                <w:rFonts w:ascii="宋体" w:hAnsi="宋体" w:eastAsia="宋体"/>
                <w:sz w:val="21"/>
                <w:szCs w:val="21"/>
              </w:rPr>
            </w:pPr>
            <w:r>
              <w:rPr>
                <w:rFonts w:hint="eastAsia" w:ascii="宋体" w:cs="宋体"/>
                <w:kern w:val="0"/>
                <w:sz w:val="21"/>
                <w:szCs w:val="21"/>
              </w:rPr>
              <w:t>修改完善上述问题，建议企业通过演练不断完善应急预案。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606" w:type="dxa"/>
            <w:vAlign w:val="center"/>
          </w:tcPr>
          <w:p>
            <w:pPr>
              <w:adjustRightInd w:val="0"/>
              <w:snapToGrid w:val="0"/>
              <w:spacing w:line="440" w:lineRule="exact"/>
              <w:rPr>
                <w:rFonts w:ascii="宋体" w:hAnsi="宋体" w:eastAsia="宋体"/>
                <w:sz w:val="21"/>
                <w:szCs w:val="21"/>
              </w:rPr>
            </w:pPr>
            <w:r>
              <w:rPr>
                <w:rFonts w:hint="eastAsia" w:ascii="宋体" w:hAnsi="宋体" w:eastAsia="宋体"/>
                <w:sz w:val="21"/>
                <w:szCs w:val="21"/>
              </w:rPr>
              <w:t>评审人员人数：</w:t>
            </w:r>
            <w:r>
              <w:rPr>
                <w:rFonts w:ascii="宋体" w:hAnsi="宋体" w:eastAsia="宋体"/>
                <w:sz w:val="21"/>
                <w:szCs w:val="21"/>
                <w:u w:val="single"/>
              </w:rPr>
              <w:t xml:space="preserve">         </w:t>
            </w:r>
            <w:r>
              <w:rPr>
                <w:rFonts w:ascii="宋体" w:hAnsi="宋体" w:eastAsia="宋体"/>
                <w:sz w:val="21"/>
                <w:szCs w:val="21"/>
              </w:rPr>
              <w:t xml:space="preserve"> </w:t>
            </w:r>
          </w:p>
          <w:p>
            <w:pPr>
              <w:adjustRightInd w:val="0"/>
              <w:snapToGrid w:val="0"/>
              <w:spacing w:line="440" w:lineRule="exact"/>
              <w:rPr>
                <w:rFonts w:ascii="宋体" w:hAnsi="宋体" w:eastAsia="宋体"/>
                <w:sz w:val="21"/>
                <w:szCs w:val="21"/>
              </w:rPr>
            </w:pPr>
            <w:r>
              <w:rPr>
                <w:rFonts w:hint="eastAsia" w:ascii="宋体" w:hAnsi="宋体" w:eastAsia="宋体"/>
                <w:sz w:val="21"/>
                <w:szCs w:val="21"/>
              </w:rPr>
              <w:t>评审组长签字：</w:t>
            </w:r>
            <w:r>
              <w:rPr>
                <w:rFonts w:ascii="宋体" w:hAnsi="宋体" w:eastAsia="宋体"/>
                <w:sz w:val="21"/>
                <w:szCs w:val="21"/>
                <w:u w:val="single"/>
              </w:rPr>
              <w:t xml:space="preserve">         </w:t>
            </w:r>
          </w:p>
          <w:p>
            <w:pPr>
              <w:adjustRightInd w:val="0"/>
              <w:snapToGrid w:val="0"/>
              <w:spacing w:line="440" w:lineRule="exact"/>
              <w:rPr>
                <w:rFonts w:ascii="宋体" w:hAnsi="宋体" w:eastAsia="宋体"/>
                <w:sz w:val="21"/>
                <w:szCs w:val="21"/>
              </w:rPr>
            </w:pPr>
            <w:r>
              <w:rPr>
                <w:rFonts w:hint="eastAsia" w:ascii="宋体" w:hAnsi="宋体" w:eastAsia="宋体"/>
                <w:sz w:val="21"/>
                <w:szCs w:val="21"/>
              </w:rPr>
              <w:t>其他评审人员签字：</w:t>
            </w:r>
            <w:r>
              <w:rPr>
                <w:rFonts w:ascii="宋体" w:hAnsi="宋体" w:eastAsia="宋体"/>
                <w:sz w:val="21"/>
                <w:szCs w:val="21"/>
                <w:u w:val="single"/>
              </w:rPr>
              <w:t xml:space="preserve">                                                                 </w:t>
            </w:r>
          </w:p>
          <w:p>
            <w:pPr>
              <w:adjustRightInd w:val="0"/>
              <w:snapToGrid w:val="0"/>
              <w:spacing w:line="440" w:lineRule="exact"/>
              <w:rPr>
                <w:rFonts w:ascii="宋体" w:hAnsi="宋体" w:eastAsia="宋体"/>
                <w:sz w:val="21"/>
                <w:szCs w:val="21"/>
              </w:rPr>
            </w:pPr>
            <w:r>
              <w:rPr>
                <w:rFonts w:hint="eastAsia" w:ascii="宋体" w:hAnsi="宋体" w:eastAsia="宋体"/>
                <w:sz w:val="21"/>
                <w:szCs w:val="21"/>
              </w:rPr>
              <w:t>企业负责人签字：</w:t>
            </w:r>
            <w:r>
              <w:rPr>
                <w:rFonts w:ascii="宋体" w:hAnsi="宋体" w:eastAsia="宋体"/>
                <w:sz w:val="21"/>
                <w:szCs w:val="21"/>
                <w:u w:val="single"/>
              </w:rPr>
              <w:t xml:space="preserve">                                                                   </w:t>
            </w:r>
          </w:p>
          <w:p>
            <w:pPr>
              <w:adjustRightInd w:val="0"/>
              <w:snapToGrid w:val="0"/>
              <w:spacing w:line="440" w:lineRule="exact"/>
              <w:jc w:val="right"/>
              <w:rPr>
                <w:rFonts w:ascii="宋体" w:hAnsi="宋体" w:eastAsia="宋体"/>
                <w:sz w:val="21"/>
                <w:szCs w:val="21"/>
              </w:rPr>
            </w:pP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tc>
      </w:tr>
    </w:tbl>
    <w:p>
      <w:pPr>
        <w:adjustRightInd w:val="0"/>
        <w:snapToGrid w:val="0"/>
        <w:spacing w:before="156" w:beforeLines="50"/>
        <w:rPr>
          <w:rFonts w:ascii="宋体" w:hAnsi="宋体" w:eastAsia="宋体"/>
          <w:sz w:val="21"/>
          <w:szCs w:val="21"/>
        </w:rPr>
      </w:pPr>
      <w:r>
        <w:rPr>
          <w:rFonts w:hint="eastAsia" w:ascii="宋体" w:hAnsi="宋体" w:eastAsia="宋体"/>
          <w:sz w:val="21"/>
          <w:szCs w:val="21"/>
        </w:rPr>
        <w:t>附：定量打分结果和各</w:t>
      </w:r>
      <w:bookmarkStart w:id="0" w:name="_GoBack"/>
      <w:bookmarkEnd w:id="0"/>
      <w:r>
        <w:rPr>
          <w:rFonts w:hint="eastAsia" w:ascii="宋体" w:hAnsi="宋体" w:eastAsia="宋体"/>
          <w:sz w:val="21"/>
          <w:szCs w:val="21"/>
        </w:rPr>
        <w:t>评审专家评审表。</w:t>
      </w:r>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8"/>
        <w:szCs w:val="28"/>
      </w:rPr>
    </w:pPr>
    <w:r>
      <w:rPr>
        <w:rStyle w:val="7"/>
        <w:rFonts w:hint="eastAsia" w:ascii="宋体" w:hAnsi="宋体" w:eastAsia="宋体"/>
        <w:sz w:val="28"/>
        <w:szCs w:val="28"/>
      </w:rPr>
      <w:t>—</w:t>
    </w:r>
    <w:r>
      <w:rPr>
        <w:rStyle w:val="7"/>
        <w:rFonts w:hint="eastAsia" w:ascii="宋体" w:hAnsi="宋体" w:eastAsia="宋体"/>
        <w:sz w:val="20"/>
        <w:szCs w:val="20"/>
      </w:rPr>
      <w:t xml:space="preserve">  </w:t>
    </w:r>
    <w:r>
      <w:rPr>
        <w:rStyle w:val="7"/>
        <w:rFonts w:ascii="宋体" w:hAnsi="宋体" w:eastAsia="宋体"/>
        <w:sz w:val="26"/>
        <w:szCs w:val="26"/>
      </w:rPr>
      <w:fldChar w:fldCharType="begin"/>
    </w:r>
    <w:r>
      <w:rPr>
        <w:rStyle w:val="7"/>
        <w:rFonts w:ascii="宋体" w:hAnsi="宋体" w:eastAsia="宋体"/>
        <w:sz w:val="26"/>
        <w:szCs w:val="26"/>
      </w:rPr>
      <w:instrText xml:space="preserve">PAGE  </w:instrText>
    </w:r>
    <w:r>
      <w:rPr>
        <w:rStyle w:val="7"/>
        <w:rFonts w:ascii="宋体" w:hAnsi="宋体" w:eastAsia="宋体"/>
        <w:sz w:val="26"/>
        <w:szCs w:val="26"/>
      </w:rPr>
      <w:fldChar w:fldCharType="separate"/>
    </w:r>
    <w:r>
      <w:rPr>
        <w:rStyle w:val="7"/>
        <w:rFonts w:ascii="宋体" w:hAnsi="宋体" w:eastAsia="宋体"/>
        <w:sz w:val="26"/>
        <w:szCs w:val="26"/>
      </w:rPr>
      <w:t>1</w:t>
    </w:r>
    <w:r>
      <w:rPr>
        <w:rStyle w:val="7"/>
        <w:rFonts w:ascii="宋体" w:hAnsi="宋体" w:eastAsia="宋体"/>
        <w:sz w:val="26"/>
        <w:szCs w:val="26"/>
      </w:rPr>
      <w:fldChar w:fldCharType="end"/>
    </w:r>
    <w:r>
      <w:rPr>
        <w:rStyle w:val="7"/>
        <w:rFonts w:hint="eastAsia" w:ascii="宋体" w:hAnsi="宋体" w:eastAsia="宋体"/>
        <w:sz w:val="20"/>
        <w:szCs w:val="20"/>
      </w:rPr>
      <w:t xml:space="preserve">  </w:t>
    </w:r>
    <w:r>
      <w:rPr>
        <w:rStyle w:val="7"/>
        <w:rFonts w:hint="eastAsia" w:ascii="宋体" w:hAnsi="宋体" w:eastAsia="宋体"/>
        <w:sz w:val="28"/>
        <w:szCs w:val="28"/>
      </w:rPr>
      <w:t>—</w:t>
    </w:r>
  </w:p>
  <w:p>
    <w:pPr>
      <w:pStyle w:val="3"/>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8F58A0"/>
    <w:rsid w:val="0001231C"/>
    <w:rsid w:val="00014B9E"/>
    <w:rsid w:val="00032AF3"/>
    <w:rsid w:val="00032FEF"/>
    <w:rsid w:val="000554EB"/>
    <w:rsid w:val="00077F16"/>
    <w:rsid w:val="000A2291"/>
    <w:rsid w:val="000B25D1"/>
    <w:rsid w:val="000D1658"/>
    <w:rsid w:val="000D4746"/>
    <w:rsid w:val="000E7466"/>
    <w:rsid w:val="00103DA9"/>
    <w:rsid w:val="001256ED"/>
    <w:rsid w:val="00156F76"/>
    <w:rsid w:val="001677A8"/>
    <w:rsid w:val="0018085F"/>
    <w:rsid w:val="00184649"/>
    <w:rsid w:val="00193D27"/>
    <w:rsid w:val="001B482D"/>
    <w:rsid w:val="001B5800"/>
    <w:rsid w:val="001C2F2A"/>
    <w:rsid w:val="001C75A7"/>
    <w:rsid w:val="001F6C68"/>
    <w:rsid w:val="00211B31"/>
    <w:rsid w:val="00233AC5"/>
    <w:rsid w:val="00235122"/>
    <w:rsid w:val="002503CD"/>
    <w:rsid w:val="00267395"/>
    <w:rsid w:val="00287389"/>
    <w:rsid w:val="00291AAB"/>
    <w:rsid w:val="002B0018"/>
    <w:rsid w:val="002B2703"/>
    <w:rsid w:val="002D3E3F"/>
    <w:rsid w:val="002D50A5"/>
    <w:rsid w:val="002F4AE7"/>
    <w:rsid w:val="003038FC"/>
    <w:rsid w:val="0031556C"/>
    <w:rsid w:val="003159CC"/>
    <w:rsid w:val="003257F9"/>
    <w:rsid w:val="0033265E"/>
    <w:rsid w:val="003426CF"/>
    <w:rsid w:val="003430AC"/>
    <w:rsid w:val="003526C6"/>
    <w:rsid w:val="00364A92"/>
    <w:rsid w:val="003665DA"/>
    <w:rsid w:val="0037175B"/>
    <w:rsid w:val="00387C9E"/>
    <w:rsid w:val="00397C53"/>
    <w:rsid w:val="003A4C7A"/>
    <w:rsid w:val="003C117F"/>
    <w:rsid w:val="003C4804"/>
    <w:rsid w:val="003C6591"/>
    <w:rsid w:val="003D7B6D"/>
    <w:rsid w:val="003E3F03"/>
    <w:rsid w:val="0042572E"/>
    <w:rsid w:val="00453DDA"/>
    <w:rsid w:val="004567A0"/>
    <w:rsid w:val="0046486F"/>
    <w:rsid w:val="00471F3F"/>
    <w:rsid w:val="004751FF"/>
    <w:rsid w:val="00484361"/>
    <w:rsid w:val="004921EA"/>
    <w:rsid w:val="004937EE"/>
    <w:rsid w:val="004962F1"/>
    <w:rsid w:val="00497812"/>
    <w:rsid w:val="004A6F48"/>
    <w:rsid w:val="004D41E3"/>
    <w:rsid w:val="004E0B75"/>
    <w:rsid w:val="00503BA2"/>
    <w:rsid w:val="00504A3D"/>
    <w:rsid w:val="005054FD"/>
    <w:rsid w:val="00523779"/>
    <w:rsid w:val="005264D3"/>
    <w:rsid w:val="005619E3"/>
    <w:rsid w:val="00575961"/>
    <w:rsid w:val="00575FC8"/>
    <w:rsid w:val="005876D4"/>
    <w:rsid w:val="005B004B"/>
    <w:rsid w:val="005C6138"/>
    <w:rsid w:val="005D61FE"/>
    <w:rsid w:val="005E1C68"/>
    <w:rsid w:val="005F3397"/>
    <w:rsid w:val="0063436D"/>
    <w:rsid w:val="006364AD"/>
    <w:rsid w:val="006711F9"/>
    <w:rsid w:val="00681293"/>
    <w:rsid w:val="006816E0"/>
    <w:rsid w:val="006845F4"/>
    <w:rsid w:val="0069147A"/>
    <w:rsid w:val="006A3D93"/>
    <w:rsid w:val="006B1781"/>
    <w:rsid w:val="006C7D3D"/>
    <w:rsid w:val="006D67EA"/>
    <w:rsid w:val="006D6EFC"/>
    <w:rsid w:val="006E0330"/>
    <w:rsid w:val="006E377E"/>
    <w:rsid w:val="006E7CA5"/>
    <w:rsid w:val="006F1A17"/>
    <w:rsid w:val="007051E3"/>
    <w:rsid w:val="00713A3F"/>
    <w:rsid w:val="00724063"/>
    <w:rsid w:val="00733B32"/>
    <w:rsid w:val="00777895"/>
    <w:rsid w:val="007868AD"/>
    <w:rsid w:val="0079692B"/>
    <w:rsid w:val="007B221B"/>
    <w:rsid w:val="007B6384"/>
    <w:rsid w:val="007C6148"/>
    <w:rsid w:val="008236A2"/>
    <w:rsid w:val="008403A6"/>
    <w:rsid w:val="008408E4"/>
    <w:rsid w:val="00850329"/>
    <w:rsid w:val="00853935"/>
    <w:rsid w:val="00860637"/>
    <w:rsid w:val="008A285E"/>
    <w:rsid w:val="008A4DF7"/>
    <w:rsid w:val="008A5953"/>
    <w:rsid w:val="008C0CBA"/>
    <w:rsid w:val="008D0EC4"/>
    <w:rsid w:val="008D43FE"/>
    <w:rsid w:val="00941473"/>
    <w:rsid w:val="009415A1"/>
    <w:rsid w:val="00943C2B"/>
    <w:rsid w:val="00965DF5"/>
    <w:rsid w:val="00977FFE"/>
    <w:rsid w:val="00985D7F"/>
    <w:rsid w:val="009A50F9"/>
    <w:rsid w:val="009C426C"/>
    <w:rsid w:val="009E4E9B"/>
    <w:rsid w:val="009F3936"/>
    <w:rsid w:val="00A03356"/>
    <w:rsid w:val="00A03FFE"/>
    <w:rsid w:val="00A057BC"/>
    <w:rsid w:val="00A0786D"/>
    <w:rsid w:val="00A260B3"/>
    <w:rsid w:val="00A33715"/>
    <w:rsid w:val="00A361CB"/>
    <w:rsid w:val="00A37BFE"/>
    <w:rsid w:val="00A444BC"/>
    <w:rsid w:val="00A74BBE"/>
    <w:rsid w:val="00A77B07"/>
    <w:rsid w:val="00A9187F"/>
    <w:rsid w:val="00AA388A"/>
    <w:rsid w:val="00AA485B"/>
    <w:rsid w:val="00AB611C"/>
    <w:rsid w:val="00AD0A35"/>
    <w:rsid w:val="00AD7708"/>
    <w:rsid w:val="00AE356D"/>
    <w:rsid w:val="00B11AEE"/>
    <w:rsid w:val="00B24E1D"/>
    <w:rsid w:val="00B415ED"/>
    <w:rsid w:val="00B519BF"/>
    <w:rsid w:val="00B54C50"/>
    <w:rsid w:val="00B625B6"/>
    <w:rsid w:val="00BD6DC7"/>
    <w:rsid w:val="00C152D9"/>
    <w:rsid w:val="00C165A8"/>
    <w:rsid w:val="00C32ACC"/>
    <w:rsid w:val="00C53640"/>
    <w:rsid w:val="00C56C1D"/>
    <w:rsid w:val="00C62040"/>
    <w:rsid w:val="00C7359B"/>
    <w:rsid w:val="00C80035"/>
    <w:rsid w:val="00C815F2"/>
    <w:rsid w:val="00C85221"/>
    <w:rsid w:val="00C92BB8"/>
    <w:rsid w:val="00CB1EE7"/>
    <w:rsid w:val="00CB795F"/>
    <w:rsid w:val="00CD38EB"/>
    <w:rsid w:val="00CD6582"/>
    <w:rsid w:val="00CF436F"/>
    <w:rsid w:val="00CF7132"/>
    <w:rsid w:val="00D019F8"/>
    <w:rsid w:val="00D04D96"/>
    <w:rsid w:val="00D21E05"/>
    <w:rsid w:val="00D64D49"/>
    <w:rsid w:val="00D72BED"/>
    <w:rsid w:val="00D75AEA"/>
    <w:rsid w:val="00D76FBA"/>
    <w:rsid w:val="00D9005E"/>
    <w:rsid w:val="00DA09A0"/>
    <w:rsid w:val="00DA1711"/>
    <w:rsid w:val="00DA2E98"/>
    <w:rsid w:val="00DE5BD1"/>
    <w:rsid w:val="00DE6CA0"/>
    <w:rsid w:val="00DF2771"/>
    <w:rsid w:val="00DF36F5"/>
    <w:rsid w:val="00E069E8"/>
    <w:rsid w:val="00E112F9"/>
    <w:rsid w:val="00E2118F"/>
    <w:rsid w:val="00E3470B"/>
    <w:rsid w:val="00E37543"/>
    <w:rsid w:val="00E46E59"/>
    <w:rsid w:val="00E535B9"/>
    <w:rsid w:val="00E54989"/>
    <w:rsid w:val="00E60361"/>
    <w:rsid w:val="00E6319F"/>
    <w:rsid w:val="00E753B0"/>
    <w:rsid w:val="00E81342"/>
    <w:rsid w:val="00E92D23"/>
    <w:rsid w:val="00EC4B2D"/>
    <w:rsid w:val="00F044F7"/>
    <w:rsid w:val="00F22FE5"/>
    <w:rsid w:val="00F355E0"/>
    <w:rsid w:val="00F42CBA"/>
    <w:rsid w:val="00F45F3C"/>
    <w:rsid w:val="00F81C96"/>
    <w:rsid w:val="00F90521"/>
    <w:rsid w:val="00FB178B"/>
    <w:rsid w:val="00FC2E47"/>
    <w:rsid w:val="00FC3CBC"/>
    <w:rsid w:val="00FF6B0D"/>
    <w:rsid w:val="118F58A0"/>
    <w:rsid w:val="41315723"/>
    <w:rsid w:val="73DA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unhideWhenUsed/>
    <w:qFormat/>
    <w:uiPriority w:val="99"/>
    <w:pPr>
      <w:ind w:firstLine="200" w:firstLineChars="200"/>
      <w:jc w:val="left"/>
    </w:pPr>
    <w:rPr>
      <w:rFonts w:ascii="Times New Roman" w:hAnsi="Times New Roman" w:eastAsia="仿宋_GB2312"/>
      <w:sz w:val="28"/>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列出段落1"/>
    <w:basedOn w:val="1"/>
    <w:qFormat/>
    <w:uiPriority w:val="0"/>
    <w:pPr>
      <w:ind w:firstLine="420" w:firstLineChars="200"/>
    </w:pPr>
  </w:style>
  <w:style w:type="character" w:customStyle="1" w:styleId="9">
    <w:name w:val="页眉 Char"/>
    <w:basedOn w:val="6"/>
    <w:link w:val="4"/>
    <w:qFormat/>
    <w:uiPriority w:val="0"/>
    <w:rPr>
      <w:rFonts w:ascii="Calibri" w:hAnsi="Calibri"/>
      <w:kern w:val="2"/>
      <w:sz w:val="18"/>
      <w:szCs w:val="18"/>
    </w:rPr>
  </w:style>
  <w:style w:type="character" w:customStyle="1" w:styleId="10">
    <w:name w:val="批注文字 Char1"/>
    <w:link w:val="2"/>
    <w:qFormat/>
    <w:uiPriority w:val="99"/>
    <w:rPr>
      <w:rFonts w:ascii="Times New Roman" w:hAnsi="Times New Roman" w:eastAsia="仿宋_GB2312"/>
      <w:kern w:val="2"/>
      <w:sz w:val="28"/>
      <w:szCs w:val="22"/>
    </w:rPr>
  </w:style>
  <w:style w:type="character" w:customStyle="1" w:styleId="11">
    <w:name w:val="批注文字 Char"/>
    <w:basedOn w:val="6"/>
    <w:qFormat/>
    <w:uiPriority w:val="99"/>
    <w:rPr>
      <w:rFonts w:ascii="Calibri" w:hAnsi="Calibri"/>
      <w:kern w:val="2"/>
      <w:sz w:val="32"/>
      <w:szCs w:val="22"/>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223</Words>
  <Characters>1275</Characters>
  <Lines>10</Lines>
  <Paragraphs>2</Paragraphs>
  <TotalTime>394</TotalTime>
  <ScaleCrop>false</ScaleCrop>
  <LinksUpToDate>false</LinksUpToDate>
  <CharactersWithSpaces>1496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2018-02-12T01:44:00Z</dcterms:created>
  <dc:creator>白钰</dc:creator>
  <cp:lastModifiedBy>崔艳玲</cp:lastModifiedBy>
  <dcterms:modified xsi:type="dcterms:W3CDTF">2019-08-06T03:26:55Z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