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right" w:leader="dot" w:pos="8296"/>
        </w:tabs>
        <w:adjustRightInd w:val="0"/>
        <w:snapToGrid w:val="0"/>
        <w:jc w:val="center"/>
        <w:rPr>
          <w:rFonts w:hint="default" w:ascii="Times New Roman" w:hAnsi="Times New Roman" w:eastAsia="宋体" w:cs="Times New Roman"/>
          <w:bCs/>
          <w:color w:val="auto"/>
          <w:sz w:val="44"/>
          <w:szCs w:val="44"/>
          <w:highlight w:val="none"/>
          <w:shd w:val="clear" w:color="auto" w:fill="auto"/>
        </w:rPr>
      </w:pPr>
    </w:p>
    <w:p>
      <w:pPr>
        <w:pStyle w:val="15"/>
        <w:tabs>
          <w:tab w:val="right" w:leader="dot" w:pos="8296"/>
        </w:tabs>
        <w:adjustRightInd w:val="0"/>
        <w:snapToGrid w:val="0"/>
        <w:jc w:val="center"/>
        <w:rPr>
          <w:rFonts w:hint="default" w:ascii="Times New Roman" w:hAnsi="Times New Roman" w:eastAsia="宋体" w:cs="Times New Roman"/>
          <w:bCs/>
          <w:color w:val="auto"/>
          <w:sz w:val="44"/>
          <w:szCs w:val="44"/>
          <w:highlight w:val="none"/>
          <w:shd w:val="clear" w:color="auto" w:fill="auto"/>
        </w:rPr>
      </w:pPr>
    </w:p>
    <w:p>
      <w:pPr>
        <w:rPr>
          <w:rFonts w:hint="default"/>
        </w:rPr>
      </w:pPr>
    </w:p>
    <w:p>
      <w:pPr>
        <w:pStyle w:val="15"/>
        <w:tabs>
          <w:tab w:val="right" w:leader="dot" w:pos="8296"/>
        </w:tabs>
        <w:adjustRightInd w:val="0"/>
        <w:snapToGrid w:val="0"/>
        <w:jc w:val="center"/>
        <w:rPr>
          <w:rFonts w:hint="default" w:ascii="Times New Roman" w:hAnsi="Times New Roman" w:eastAsia="宋体" w:cs="Times New Roman"/>
          <w:b w:val="0"/>
          <w:bCs/>
          <w:color w:val="auto"/>
          <w:sz w:val="44"/>
          <w:szCs w:val="44"/>
          <w:highlight w:val="none"/>
          <w:shd w:val="clear" w:color="auto" w:fill="auto"/>
        </w:rPr>
      </w:pPr>
    </w:p>
    <w:p>
      <w:pPr>
        <w:spacing w:line="800" w:lineRule="atLeast"/>
        <w:jc w:val="center"/>
        <w:rPr>
          <w:rFonts w:hint="default" w:ascii="Times New Roman" w:hAnsi="Times New Roman" w:eastAsia="宋体" w:cs="Times New Roman"/>
          <w:b w:val="0"/>
          <w:bCs/>
          <w:color w:val="auto"/>
          <w:spacing w:val="-20"/>
          <w:sz w:val="36"/>
          <w:szCs w:val="36"/>
          <w:lang w:eastAsia="zh-CN"/>
        </w:rPr>
      </w:pPr>
      <w:r>
        <w:rPr>
          <w:rFonts w:hint="default" w:ascii="Times New Roman" w:hAnsi="Times New Roman" w:eastAsia="宋体" w:cs="Times New Roman"/>
          <w:b w:val="0"/>
          <w:bCs/>
          <w:color w:val="auto"/>
          <w:spacing w:val="-20"/>
          <w:sz w:val="36"/>
          <w:szCs w:val="36"/>
          <w:lang w:eastAsia="zh-CN"/>
        </w:rPr>
        <w:t>《</w:t>
      </w:r>
      <w:r>
        <w:rPr>
          <w:rFonts w:hint="eastAsia" w:cs="Times New Roman"/>
          <w:b w:val="0"/>
          <w:bCs/>
          <w:color w:val="auto"/>
          <w:spacing w:val="-20"/>
          <w:sz w:val="36"/>
          <w:szCs w:val="36"/>
          <w:lang w:eastAsia="zh-CN"/>
        </w:rPr>
        <w:t>中国石油天然气股份有限公司天津销售分公司津南泰和加油站</w:t>
      </w:r>
      <w:r>
        <w:rPr>
          <w:rFonts w:hint="default" w:ascii="Times New Roman" w:hAnsi="Times New Roman" w:eastAsia="宋体" w:cs="Times New Roman"/>
          <w:b w:val="0"/>
          <w:bCs/>
          <w:color w:val="auto"/>
          <w:spacing w:val="-20"/>
          <w:sz w:val="36"/>
          <w:szCs w:val="36"/>
          <w:lang w:eastAsia="zh-CN"/>
        </w:rPr>
        <w:t>突发环境事件应急预案》</w:t>
      </w:r>
    </w:p>
    <w:p>
      <w:pPr>
        <w:pStyle w:val="11"/>
        <w:adjustRightInd/>
        <w:snapToGrid/>
        <w:spacing w:before="156" w:beforeLines="50" w:after="240" w:line="480" w:lineRule="auto"/>
        <w:jc w:val="center"/>
        <w:rPr>
          <w:rFonts w:hint="default" w:ascii="Times New Roman" w:hAnsi="Times New Roman" w:eastAsia="宋体" w:cs="Times New Roman"/>
          <w:b w:val="0"/>
          <w:bCs/>
          <w:color w:val="auto"/>
          <w:kern w:val="2"/>
          <w:sz w:val="44"/>
          <w:szCs w:val="44"/>
          <w:highlight w:val="none"/>
          <w:lang w:val="en-US" w:eastAsia="zh-CN" w:bidi="ar-SA"/>
        </w:rPr>
      </w:pPr>
      <w:r>
        <w:rPr>
          <w:rFonts w:hint="default" w:ascii="Times New Roman" w:hAnsi="Times New Roman" w:eastAsia="宋体" w:cs="Times New Roman"/>
          <w:b w:val="0"/>
          <w:bCs/>
          <w:color w:val="auto"/>
          <w:kern w:val="2"/>
          <w:sz w:val="44"/>
          <w:szCs w:val="44"/>
          <w:highlight w:val="none"/>
          <w:lang w:val="en-US" w:eastAsia="zh-CN" w:bidi="ar-SA"/>
        </w:rPr>
        <w:t>编制说明</w:t>
      </w:r>
    </w:p>
    <w:p>
      <w:pPr>
        <w:rPr>
          <w:rFonts w:hint="default" w:ascii="Times New Roman" w:hAnsi="Times New Roman" w:eastAsia="宋体" w:cs="Times New Roman"/>
          <w:b w:val="0"/>
          <w:bCs/>
          <w:color w:val="auto"/>
          <w:sz w:val="44"/>
          <w:szCs w:val="44"/>
          <w:highlight w:val="none"/>
          <w:shd w:val="clear" w:color="auto" w:fill="auto"/>
          <w:lang w:bidi="ar-SA"/>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bookmarkStart w:id="5" w:name="_GoBack"/>
      <w:bookmarkEnd w:id="5"/>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pStyle w:val="2"/>
        <w:rPr>
          <w:rFonts w:hint="default" w:ascii="Times New Roman" w:hAnsi="Times New Roman" w:eastAsia="宋体" w:cs="Times New Roman"/>
          <w:b w:val="0"/>
          <w:bCs/>
          <w:color w:val="auto"/>
          <w:highlight w:val="none"/>
        </w:rPr>
      </w:pPr>
    </w:p>
    <w:p>
      <w:pPr>
        <w:pStyle w:val="3"/>
        <w:rPr>
          <w:rFonts w:hint="default" w:ascii="Times New Roman" w:hAnsi="Times New Roman" w:eastAsia="宋体" w:cs="Times New Roman"/>
          <w:b w:val="0"/>
          <w:bCs/>
          <w:color w:val="auto"/>
          <w:highlight w:val="none"/>
        </w:rPr>
      </w:pPr>
    </w:p>
    <w:p>
      <w:pPr>
        <w:pStyle w:val="4"/>
        <w:rPr>
          <w:rFonts w:hint="default"/>
          <w:b w:val="0"/>
          <w:bCs/>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rPr>
          <w:rFonts w:hint="default" w:ascii="Times New Roman" w:hAnsi="Times New Roman" w:eastAsia="宋体" w:cs="Times New Roman"/>
          <w:b w:val="0"/>
          <w:bCs/>
          <w:color w:val="auto"/>
          <w:highlight w:val="none"/>
        </w:rPr>
      </w:pPr>
    </w:p>
    <w:p>
      <w:pPr>
        <w:adjustRightInd w:val="0"/>
        <w:snapToGrid w:val="0"/>
        <w:rPr>
          <w:rFonts w:hint="default" w:ascii="Times New Roman" w:hAnsi="Times New Roman" w:eastAsia="宋体" w:cs="Times New Roman"/>
          <w:b w:val="0"/>
          <w:bCs/>
          <w:color w:val="auto"/>
          <w:sz w:val="28"/>
          <w:szCs w:val="28"/>
          <w:highlight w:val="none"/>
          <w:lang w:bidi="ar-SA"/>
        </w:rPr>
      </w:pPr>
    </w:p>
    <w:p>
      <w:pPr>
        <w:pStyle w:val="15"/>
        <w:tabs>
          <w:tab w:val="right" w:leader="dot" w:pos="8296"/>
        </w:tabs>
        <w:adjustRightInd w:val="0"/>
        <w:snapToGrid w:val="0"/>
        <w:spacing w:line="360" w:lineRule="auto"/>
        <w:jc w:val="center"/>
        <w:rPr>
          <w:rFonts w:hint="eastAsia" w:ascii="仿宋" w:hAnsi="仿宋" w:eastAsia="仿宋" w:cs="仿宋"/>
          <w:b w:val="0"/>
          <w:bCs/>
          <w:color w:val="auto"/>
          <w:sz w:val="28"/>
          <w:szCs w:val="28"/>
          <w:highlight w:val="none"/>
          <w:lang w:eastAsia="zh-CN" w:bidi="ar-SA"/>
        </w:rPr>
      </w:pPr>
      <w:r>
        <w:rPr>
          <w:rFonts w:hint="eastAsia" w:ascii="仿宋" w:hAnsi="仿宋" w:eastAsia="仿宋" w:cs="仿宋"/>
          <w:b w:val="0"/>
          <w:bCs/>
          <w:color w:val="auto"/>
          <w:sz w:val="28"/>
          <w:szCs w:val="28"/>
          <w:highlight w:val="none"/>
          <w:lang w:eastAsia="zh-CN" w:bidi="ar-SA"/>
        </w:rPr>
        <w:t>中国石油天然气股份有限公司天津销售分公司津南泰和加油站</w:t>
      </w:r>
    </w:p>
    <w:p>
      <w:pPr>
        <w:pStyle w:val="16"/>
        <w:adjustRightInd w:val="0"/>
        <w:snapToGrid w:val="0"/>
        <w:spacing w:line="360" w:lineRule="auto"/>
        <w:ind w:left="0" w:firstLine="0"/>
        <w:rPr>
          <w:rFonts w:hint="eastAsia" w:ascii="仿宋" w:hAnsi="仿宋" w:eastAsia="仿宋" w:cs="仿宋"/>
          <w:b w:val="0"/>
          <w:bCs/>
          <w:color w:val="auto"/>
          <w:sz w:val="28"/>
          <w:highlight w:val="none"/>
          <w:shd w:val="clear" w:color="auto" w:fill="auto"/>
          <w:lang w:bidi="ar-SA"/>
        </w:rPr>
      </w:pPr>
      <w:r>
        <w:rPr>
          <w:rFonts w:hint="eastAsia" w:ascii="仿宋" w:hAnsi="仿宋" w:eastAsia="仿宋" w:cs="仿宋"/>
          <w:b w:val="0"/>
          <w:bCs/>
          <w:color w:val="auto"/>
          <w:sz w:val="28"/>
          <w:highlight w:val="none"/>
          <w:shd w:val="clear" w:color="auto" w:fill="auto"/>
          <w:lang w:val="en-US" w:eastAsia="zh-CN" w:bidi="ar-SA"/>
        </w:rPr>
        <w:t>二〇一九</w:t>
      </w:r>
      <w:r>
        <w:rPr>
          <w:rFonts w:hint="eastAsia" w:ascii="仿宋" w:hAnsi="仿宋" w:eastAsia="仿宋" w:cs="仿宋"/>
          <w:b w:val="0"/>
          <w:bCs/>
          <w:color w:val="auto"/>
          <w:sz w:val="28"/>
          <w:highlight w:val="none"/>
          <w:shd w:val="clear" w:color="auto" w:fill="auto"/>
          <w:lang w:bidi="ar-SA"/>
        </w:rPr>
        <w:t>年</w:t>
      </w:r>
      <w:r>
        <w:rPr>
          <w:rFonts w:hint="eastAsia" w:ascii="仿宋" w:hAnsi="仿宋" w:eastAsia="仿宋" w:cs="仿宋"/>
          <w:b w:val="0"/>
          <w:bCs/>
          <w:color w:val="auto"/>
          <w:sz w:val="28"/>
          <w:highlight w:val="none"/>
          <w:shd w:val="clear" w:color="auto" w:fill="auto"/>
          <w:lang w:eastAsia="zh-CN" w:bidi="ar-SA"/>
        </w:rPr>
        <w:t>八</w:t>
      </w:r>
      <w:r>
        <w:rPr>
          <w:rFonts w:hint="eastAsia" w:ascii="仿宋" w:hAnsi="仿宋" w:eastAsia="仿宋" w:cs="仿宋"/>
          <w:b w:val="0"/>
          <w:bCs/>
          <w:color w:val="auto"/>
          <w:sz w:val="28"/>
          <w:highlight w:val="none"/>
          <w:shd w:val="clear" w:color="auto" w:fill="auto"/>
          <w:lang w:bidi="ar-SA"/>
        </w:rPr>
        <w:t>月</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sectPr>
          <w:headerReference r:id="rId3" w:type="default"/>
          <w:pgSz w:w="11907" w:h="16839"/>
          <w:pgMar w:top="1440" w:right="1800" w:bottom="1440" w:left="1800" w:header="851" w:footer="992" w:gutter="0"/>
          <w:pgNumType w:start="1"/>
          <w:titlePg/>
          <w:docGrid w:type="lines" w:linePitch="312" w:charSpace="0"/>
        </w:sect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12"/>
        <w:snapToGrid w:val="0"/>
        <w:spacing w:line="360" w:lineRule="auto"/>
        <w:ind w:firstLine="560" w:firstLineChars="200"/>
        <w:rPr>
          <w:rFonts w:hint="default" w:ascii="Times New Roman" w:hAnsi="Times New Roman" w:eastAsia="宋体" w:cs="Times New Roman"/>
          <w:color w:val="auto"/>
          <w:sz w:val="28"/>
          <w:szCs w:val="28"/>
        </w:rPr>
        <w:sectPr>
          <w:footerReference r:id="rId5" w:type="first"/>
          <w:footerReference r:id="rId4" w:type="default"/>
          <w:pgSz w:w="11907" w:h="16839"/>
          <w:pgMar w:top="1440" w:right="1800" w:bottom="1440" w:left="1800" w:header="851" w:footer="992" w:gutter="0"/>
          <w:pgNumType w:start="1"/>
          <w:docGrid w:type="lines" w:linePitch="312" w:charSpace="0"/>
        </w:sectPr>
      </w:pPr>
      <w:bookmarkStart w:id="0" w:name="_Toc13148145"/>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本</w:t>
      </w:r>
      <w:r>
        <w:rPr>
          <w:rFonts w:hint="eastAsia" w:ascii="仿宋" w:hAnsi="仿宋" w:eastAsia="仿宋" w:cs="仿宋"/>
          <w:color w:val="auto"/>
          <w:sz w:val="28"/>
          <w:szCs w:val="28"/>
        </w:rPr>
        <w:t>《预案》</w:t>
      </w:r>
      <w:r>
        <w:rPr>
          <w:rFonts w:hint="eastAsia" w:ascii="仿宋" w:hAnsi="仿宋" w:eastAsia="仿宋" w:cs="仿宋"/>
          <w:color w:val="auto"/>
          <w:sz w:val="28"/>
          <w:szCs w:val="28"/>
          <w:lang w:eastAsia="zh-CN"/>
        </w:rPr>
        <w:t>为中国石油天然气股份有限公司天津销售分公司津南泰和加油站突发环境事件应急预案，</w:t>
      </w:r>
      <w:r>
        <w:rPr>
          <w:rFonts w:hint="eastAsia" w:ascii="仿宋" w:hAnsi="仿宋" w:eastAsia="仿宋" w:cs="仿宋"/>
          <w:color w:val="auto"/>
          <w:sz w:val="28"/>
          <w:szCs w:val="28"/>
        </w:rPr>
        <w:t>编制情况说明如下。</w:t>
      </w:r>
    </w:p>
    <w:p>
      <w:pPr>
        <w:pStyle w:val="12"/>
        <w:keepNext w:val="0"/>
        <w:keepLines w:val="0"/>
        <w:pageBreakBefore w:val="0"/>
        <w:widowControl w:val="0"/>
        <w:kinsoku/>
        <w:wordWrap/>
        <w:overflowPunct/>
        <w:topLinePunct w:val="0"/>
        <w:autoSpaceDE/>
        <w:autoSpaceDN/>
        <w:bidi w:val="0"/>
        <w:adjustRightInd w:val="0"/>
        <w:snapToGrid w:val="0"/>
        <w:spacing w:before="156" w:beforeLines="50" w:line="240" w:lineRule="auto"/>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一、《预案》编制背景</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根据天津市环保局发布的《市环保局关于做好企业事业单位突发环境事件应急预案备案管理工作的通知》（津环保应[2015]40号）中的规定，同时根据国家、天津市相关的法律要求，</w:t>
      </w:r>
      <w:r>
        <w:rPr>
          <w:rFonts w:hint="eastAsia" w:ascii="仿宋" w:hAnsi="仿宋" w:eastAsia="仿宋" w:cs="仿宋"/>
          <w:color w:val="auto"/>
          <w:sz w:val="28"/>
          <w:szCs w:val="28"/>
          <w:lang w:eastAsia="zh-CN"/>
        </w:rPr>
        <w:t>编制本</w:t>
      </w:r>
      <w:r>
        <w:rPr>
          <w:rFonts w:hint="eastAsia" w:ascii="仿宋" w:hAnsi="仿宋" w:eastAsia="仿宋" w:cs="仿宋"/>
          <w:color w:val="auto"/>
          <w:sz w:val="28"/>
          <w:szCs w:val="28"/>
        </w:rPr>
        <w:t>《预案》</w:t>
      </w:r>
      <w:r>
        <w:rPr>
          <w:rFonts w:hint="eastAsia" w:ascii="仿宋" w:hAnsi="仿宋" w:eastAsia="仿宋" w:cs="仿宋"/>
          <w:color w:val="auto"/>
          <w:sz w:val="28"/>
          <w:szCs w:val="28"/>
          <w:lang w:eastAsia="zh-CN"/>
        </w:rPr>
        <w:t>（（包括风险评估报告、应急资源调查报告、应急预案文本及编制说明），完成本预案编制后提交上级主管部门备案。</w:t>
      </w:r>
    </w:p>
    <w:p>
      <w:pPr>
        <w:pStyle w:val="12"/>
        <w:keepNext w:val="0"/>
        <w:keepLines w:val="0"/>
        <w:pageBreakBefore w:val="0"/>
        <w:widowControl w:val="0"/>
        <w:kinsoku/>
        <w:wordWrap/>
        <w:overflowPunct/>
        <w:topLinePunct w:val="0"/>
        <w:autoSpaceDE/>
        <w:autoSpaceDN/>
        <w:bidi w:val="0"/>
        <w:adjustRightInd w:val="0"/>
        <w:snapToGrid w:val="0"/>
        <w:spacing w:before="156" w:beforeLines="50" w:line="240" w:lineRule="auto"/>
        <w:ind w:firstLine="562" w:firstLineChars="200"/>
        <w:textAlignment w:val="auto"/>
        <w:outlineLvl w:val="0"/>
        <w:rPr>
          <w:rFonts w:hint="eastAsia" w:ascii="仿宋" w:hAnsi="仿宋" w:eastAsia="仿宋" w:cs="仿宋"/>
          <w:b/>
          <w:bCs/>
          <w:color w:val="auto"/>
          <w:sz w:val="28"/>
          <w:szCs w:val="28"/>
        </w:rPr>
      </w:pPr>
      <w:bookmarkStart w:id="1" w:name="_Toc524250043"/>
      <w:bookmarkStart w:id="2" w:name="_Toc532687431"/>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预案</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编制依据</w:t>
      </w:r>
      <w:bookmarkEnd w:id="1"/>
      <w:bookmarkEnd w:id="2"/>
      <w:r>
        <w:rPr>
          <w:rFonts w:hint="eastAsia" w:ascii="仿宋" w:hAnsi="仿宋" w:eastAsia="仿宋" w:cs="仿宋"/>
          <w:b/>
          <w:bCs/>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textAlignment w:val="auto"/>
        <w:rPr>
          <w:rFonts w:hint="eastAsia" w:ascii="仿宋" w:hAnsi="仿宋" w:eastAsia="仿宋" w:cs="仿宋"/>
          <w:color w:val="auto"/>
          <w:kern w:val="2"/>
          <w:sz w:val="28"/>
          <w:szCs w:val="28"/>
          <w:lang w:val="en-US" w:eastAsia="zh-CN" w:bidi="ar-SA"/>
        </w:rPr>
      </w:pPr>
      <w:bookmarkStart w:id="3" w:name="_Toc395252142"/>
      <w:r>
        <w:rPr>
          <w:rFonts w:hint="eastAsia" w:ascii="仿宋" w:hAnsi="仿宋" w:eastAsia="仿宋" w:cs="仿宋"/>
          <w:color w:val="auto"/>
          <w:kern w:val="2"/>
          <w:sz w:val="28"/>
          <w:szCs w:val="28"/>
          <w:lang w:val="en-US" w:eastAsia="zh-CN" w:bidi="ar-SA"/>
        </w:rPr>
        <w:t>“中国石油天然气股份有限公司天津销售分公司津南泰和加油站突发环境事件应急预案”，是应对中国石油天然气股份有限公司天津销售分公司津南泰和加油站突发环境事件的指导性文件。《预案》是依据《中华人民共和国环境保护法》、《中华人民共和国安全生产法》、《中华人民共和国突发事件应对法》、《天津市突发环境事件应急预案》等法律法规和有关规定编制的，同时结合本企业实际，经过多次讨论修改完成的，具有较强的针对性、规范性和可操作性。</w:t>
      </w:r>
    </w:p>
    <w:bookmarkEnd w:id="3"/>
    <w:p>
      <w:pPr>
        <w:pStyle w:val="12"/>
        <w:keepNext w:val="0"/>
        <w:keepLines w:val="0"/>
        <w:pageBreakBefore w:val="0"/>
        <w:widowControl w:val="0"/>
        <w:kinsoku/>
        <w:wordWrap/>
        <w:overflowPunct/>
        <w:topLinePunct w:val="0"/>
        <w:autoSpaceDE/>
        <w:autoSpaceDN/>
        <w:bidi w:val="0"/>
        <w:adjustRightInd w:val="0"/>
        <w:snapToGrid w:val="0"/>
        <w:spacing w:before="156" w:beforeLines="50" w:line="240" w:lineRule="auto"/>
        <w:ind w:firstLine="562"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三、《预案》编制过程</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环境保护部公布了《突发环境事件应急管理办法》后，公司高度重视，立即启动《预案》编制准备工作，成立了《预案》编制组，责成专人落实编写工作。通过研究学习、资料收集、专家评审等多种形式，形成了本《预案》。</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主要编制过程分为以下阶段：</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（一）成立应急预案编制组。</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应急预案编制组由应急总指挥</w:t>
      </w:r>
      <w:r>
        <w:rPr>
          <w:rFonts w:hint="eastAsia" w:ascii="仿宋" w:hAnsi="仿宋" w:eastAsia="仿宋" w:cs="仿宋"/>
          <w:color w:val="auto"/>
          <w:sz w:val="28"/>
          <w:szCs w:val="28"/>
          <w:lang w:eastAsia="zh-CN"/>
        </w:rPr>
        <w:t>王寿海</w:t>
      </w:r>
      <w:r>
        <w:rPr>
          <w:rFonts w:hint="eastAsia" w:ascii="仿宋" w:hAnsi="仿宋" w:eastAsia="仿宋" w:cs="仿宋"/>
          <w:color w:val="auto"/>
          <w:sz w:val="28"/>
          <w:szCs w:val="28"/>
        </w:rPr>
        <w:t>、应急队伍成员</w:t>
      </w:r>
      <w:r>
        <w:rPr>
          <w:rFonts w:hint="eastAsia" w:ascii="仿宋" w:hAnsi="仿宋" w:eastAsia="仿宋" w:cs="仿宋"/>
          <w:color w:val="auto"/>
          <w:sz w:val="28"/>
          <w:szCs w:val="28"/>
          <w:lang w:eastAsia="zh-CN"/>
        </w:rPr>
        <w:t>刘俊龙</w:t>
      </w:r>
      <w:r>
        <w:rPr>
          <w:rFonts w:hint="eastAsia" w:ascii="仿宋" w:hAnsi="仿宋" w:eastAsia="仿宋" w:cs="仿宋"/>
          <w:color w:val="auto"/>
          <w:sz w:val="28"/>
          <w:szCs w:val="28"/>
        </w:rPr>
        <w:t>等人配合预案编制工作。</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（二）开展环境风险评估与应急资源调查</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应急预案编制组成员对企业生产工艺、治理设施、危险化学品及危险废物存储等开展环境风险评估，同时对目前厂区内应急资源进行调查及记录。</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（三）征求意见调查</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主要是征求关键岗位员工和可能受影响的居民、单位代表的意见，可以通过发放问卷调查的方式，全面了解可能受影响的居民的态度及意见</w:t>
      </w:r>
      <w:r>
        <w:rPr>
          <w:rFonts w:hint="eastAsia" w:ascii="仿宋" w:hAnsi="仿宋" w:eastAsia="仿宋" w:cs="仿宋"/>
          <w:color w:val="auto"/>
          <w:sz w:val="28"/>
          <w:szCs w:val="28"/>
          <w:lang w:eastAsia="zh-CN"/>
        </w:rPr>
        <w:t>。</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0"/>
        <w:rPr>
          <w:rFonts w:hint="eastAsia" w:ascii="仿宋" w:hAnsi="仿宋" w:eastAsia="仿宋" w:cs="仿宋"/>
          <w:color w:val="auto"/>
          <w:sz w:val="28"/>
          <w:szCs w:val="28"/>
        </w:rPr>
      </w:pPr>
      <w:r>
        <w:rPr>
          <w:rFonts w:hint="default"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）预案编制与修订</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照《企业事业单位突发环境事件应急预案备案管理办法（试行）》的相关要求，对本企业进行环境风险评估和应急资源调查，并开展征求意见工作，征求员工和可能受影响的居民和单位代表的意见。在此基础上，有针对性的编制了本企业的突发环境风险应急预案。</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《预案》初稿形成后，公司组织预案编制组各成员及部门负责人员进行了内部审查，开会讨论，对各项内容进行了核实和修改，形成了《预案》送审稿。</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）推演</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应急预案编制完成后，应急预案编制组成员应主持公司所有员工按照应急预案编制中所列应急方案进行桌面推演或现场演练，对发现的问题及时调整。</w:t>
      </w:r>
    </w:p>
    <w:p>
      <w:pPr>
        <w:pStyle w:val="12"/>
        <w:keepNext w:val="0"/>
        <w:keepLines w:val="0"/>
        <w:pageBreakBefore w:val="0"/>
        <w:widowControl w:val="0"/>
        <w:kinsoku/>
        <w:wordWrap/>
        <w:overflowPunct/>
        <w:topLinePunct w:val="0"/>
        <w:autoSpaceDE/>
        <w:autoSpaceDN/>
        <w:bidi w:val="0"/>
        <w:adjustRightInd w:val="0"/>
        <w:snapToGrid w:val="0"/>
        <w:spacing w:before="156" w:beforeLines="50" w:line="240" w:lineRule="auto"/>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、重点内容</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本预案在企业环境风险评估和应急物资调查的基础上形成。环境风险评估过程中对企业周边的环境风险受体进行了调查，对企业涉及的环境风险物质进行了筛选，根据</w:t>
      </w:r>
      <w:r>
        <w:rPr>
          <w:rFonts w:hint="eastAsia" w:ascii="仿宋" w:hAnsi="仿宋" w:eastAsia="仿宋" w:cs="仿宋"/>
          <w:color w:val="auto"/>
          <w:sz w:val="28"/>
          <w:szCs w:val="28"/>
          <w:lang w:eastAsia="zh-CN"/>
        </w:rPr>
        <w:t>风险物质数量与临界量比值</w:t>
      </w:r>
      <w:r>
        <w:rPr>
          <w:rFonts w:hint="eastAsia" w:ascii="仿宋" w:hAnsi="仿宋" w:eastAsia="仿宋" w:cs="仿宋"/>
          <w:color w:val="auto"/>
          <w:sz w:val="28"/>
          <w:szCs w:val="28"/>
        </w:rPr>
        <w:t>（Q）、</w:t>
      </w:r>
      <w:r>
        <w:rPr>
          <w:rFonts w:hint="eastAsia" w:ascii="仿宋" w:hAnsi="仿宋" w:eastAsia="仿宋" w:cs="仿宋"/>
          <w:color w:val="auto"/>
          <w:kern w:val="0"/>
          <w:sz w:val="28"/>
          <w:szCs w:val="28"/>
        </w:rPr>
        <w:t>环境风险控制水平（M）和企业周边环境风险受体类型（E）</w:t>
      </w:r>
      <w:r>
        <w:rPr>
          <w:rFonts w:hint="eastAsia" w:ascii="仿宋" w:hAnsi="仿宋" w:eastAsia="仿宋" w:cs="仿宋"/>
          <w:color w:val="auto"/>
          <w:sz w:val="28"/>
          <w:szCs w:val="28"/>
        </w:rPr>
        <w:t>的结果判定企业为</w:t>
      </w:r>
      <w:r>
        <w:rPr>
          <w:rFonts w:hint="eastAsia" w:ascii="仿宋" w:hAnsi="仿宋" w:eastAsia="仿宋" w:cs="仿宋"/>
          <w:color w:val="auto"/>
          <w:sz w:val="28"/>
          <w:szCs w:val="28"/>
          <w:lang w:eastAsia="zh-CN"/>
        </w:rPr>
        <w:t>一般</w:t>
      </w:r>
      <w:r>
        <w:rPr>
          <w:rFonts w:hint="eastAsia" w:ascii="仿宋" w:hAnsi="仿宋" w:eastAsia="仿宋" w:cs="仿宋"/>
          <w:color w:val="auto"/>
          <w:sz w:val="28"/>
          <w:szCs w:val="28"/>
        </w:rPr>
        <w:t>环境风险等级。针对本企业可能发生的火灾、泄漏等突发环境事故，明确了相应的应急措施，查找了现有环境风险防控和应急措施的差距，给出了完善环境风险防控和应急措施的实施计划。调查了企业应急物质的配备情况，明确了应急组织机构的设置情况及职责。</w:t>
      </w:r>
    </w:p>
    <w:p>
      <w:pPr>
        <w:pStyle w:val="12"/>
        <w:keepNext w:val="0"/>
        <w:keepLines w:val="0"/>
        <w:pageBreakBefore w:val="0"/>
        <w:widowControl w:val="0"/>
        <w:kinsoku/>
        <w:wordWrap/>
        <w:overflowPunct/>
        <w:topLinePunct w:val="0"/>
        <w:autoSpaceDE/>
        <w:autoSpaceDN/>
        <w:bidi w:val="0"/>
        <w:adjustRightInd w:val="0"/>
        <w:snapToGrid w:val="0"/>
        <w:spacing w:before="156" w:beforeLines="50" w:line="240" w:lineRule="auto"/>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征求意见情况说明</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预案编制过程中征求员工的意见。另外企业也向周边企业代表、较近环境敏感目标代表征询意见，向调查对象介绍了本企业的基本情况和应急预案情况；编制人员还向专家咨询了相关建议和意见，编制人员对以上意见和建议进行了积极的采纳。</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征求意见表共发放</w:t>
      </w:r>
      <w:r>
        <w:rPr>
          <w:rFonts w:hint="eastAsia" w:ascii="仿宋" w:hAnsi="仿宋" w:eastAsia="仿宋" w:cs="仿宋"/>
          <w:color w:val="auto"/>
          <w:sz w:val="28"/>
          <w:szCs w:val="28"/>
          <w:highlight w:val="none"/>
          <w:lang w:val="en-US" w:eastAsia="zh-CN"/>
        </w:rPr>
        <w:t>10份，收回10份。调查结果如下表：</w:t>
      </w:r>
    </w:p>
    <w:tbl>
      <w:tblPr>
        <w:tblStyle w:val="20"/>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1665"/>
        <w:gridCol w:w="1692"/>
        <w:gridCol w:w="206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54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内容</w:t>
            </w:r>
          </w:p>
        </w:tc>
        <w:tc>
          <w:tcPr>
            <w:tcW w:w="7012"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1、您认为公司所在地区现状的主要环境风险</w:t>
            </w:r>
          </w:p>
        </w:tc>
        <w:tc>
          <w:tcPr>
            <w:tcW w:w="1665"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a大气污染</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90%</w:t>
            </w:r>
          </w:p>
        </w:tc>
        <w:tc>
          <w:tcPr>
            <w:tcW w:w="1692"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b水污染</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c>
          <w:tcPr>
            <w:tcW w:w="2069"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c土壤污染</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c>
          <w:tcPr>
            <w:tcW w:w="158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d没有</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4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2、通过介绍，您认为对本公司环境风险了解程度</w:t>
            </w:r>
          </w:p>
        </w:tc>
        <w:tc>
          <w:tcPr>
            <w:tcW w:w="1665"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a很清楚</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20%</w:t>
            </w:r>
          </w:p>
        </w:tc>
        <w:tc>
          <w:tcPr>
            <w:tcW w:w="1692"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b了解</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50%</w:t>
            </w:r>
          </w:p>
        </w:tc>
        <w:tc>
          <w:tcPr>
            <w:tcW w:w="2069"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c听说过</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158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d不知道</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4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3、您认为本项目对周围环境影响程度</w:t>
            </w:r>
          </w:p>
        </w:tc>
        <w:tc>
          <w:tcPr>
            <w:tcW w:w="1665"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a很大</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c>
          <w:tcPr>
            <w:tcW w:w="1692"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b较小</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20%</w:t>
            </w:r>
          </w:p>
        </w:tc>
        <w:tc>
          <w:tcPr>
            <w:tcW w:w="2069"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c很小</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80%</w:t>
            </w:r>
          </w:p>
        </w:tc>
        <w:tc>
          <w:tcPr>
            <w:tcW w:w="158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d不知道</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4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4、您认为本项目造成的主要环境风险是</w:t>
            </w:r>
          </w:p>
        </w:tc>
        <w:tc>
          <w:tcPr>
            <w:tcW w:w="1665"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a大气污染</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80%</w:t>
            </w:r>
          </w:p>
        </w:tc>
        <w:tc>
          <w:tcPr>
            <w:tcW w:w="1692"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b水污染</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20%</w:t>
            </w:r>
          </w:p>
        </w:tc>
        <w:tc>
          <w:tcPr>
            <w:tcW w:w="2069"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c土壤污染</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c>
          <w:tcPr>
            <w:tcW w:w="158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d没有</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4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5、您认为采取那些措施可减轻环境风险</w:t>
            </w:r>
          </w:p>
        </w:tc>
        <w:tc>
          <w:tcPr>
            <w:tcW w:w="1665"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a加强日常管理</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1692"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b购买应急设施</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c>
          <w:tcPr>
            <w:tcW w:w="2069"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c加强日常风险排查</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70%</w:t>
            </w:r>
          </w:p>
        </w:tc>
        <w:tc>
          <w:tcPr>
            <w:tcW w:w="158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d搬迁</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4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6、本公司的存在对您的生活有哪些方面的影响</w:t>
            </w:r>
          </w:p>
        </w:tc>
        <w:tc>
          <w:tcPr>
            <w:tcW w:w="1665"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a工作</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c>
          <w:tcPr>
            <w:tcW w:w="1692"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b休息</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c>
          <w:tcPr>
            <w:tcW w:w="2069"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c无影响</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100%</w:t>
            </w:r>
          </w:p>
        </w:tc>
        <w:tc>
          <w:tcPr>
            <w:tcW w:w="158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d其他，指什么</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4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7、您对本公司的风险防控及应急措施的态度</w:t>
            </w:r>
          </w:p>
        </w:tc>
        <w:tc>
          <w:tcPr>
            <w:tcW w:w="1665"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a满意</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100%</w:t>
            </w:r>
          </w:p>
        </w:tc>
        <w:tc>
          <w:tcPr>
            <w:tcW w:w="1692"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b需要改进</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c>
          <w:tcPr>
            <w:tcW w:w="2069"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c不满意</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c>
          <w:tcPr>
            <w:tcW w:w="158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d不关心、不满意理由</w:t>
            </w:r>
          </w:p>
          <w:p>
            <w:pPr>
              <w:pStyle w:val="1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无</w:t>
            </w:r>
          </w:p>
        </w:tc>
      </w:tr>
    </w:tbl>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根据征求意见情况，公众对本公司环境风险及应采取的应急措施、本公司的风险防范及应急措施的态度等方面的意见如下表。</w:t>
      </w:r>
    </w:p>
    <w:p>
      <w:pPr>
        <w:pStyle w:val="12"/>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表</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  公众意见建议清单</w:t>
      </w:r>
    </w:p>
    <w:tbl>
      <w:tblPr>
        <w:tblStyle w:val="19"/>
        <w:tblW w:w="855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4"/>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0" w:type="dxa"/>
            <w:shd w:val="clear" w:color="auto" w:fill="auto"/>
            <w:vAlign w:val="center"/>
          </w:tcPr>
          <w:p>
            <w:pPr>
              <w:pStyle w:val="12"/>
              <w:snapToGrid w:val="0"/>
              <w:jc w:val="center"/>
              <w:rPr>
                <w:rFonts w:hint="eastAsia" w:ascii="仿宋" w:hAnsi="仿宋" w:eastAsia="仿宋" w:cs="仿宋"/>
                <w:color w:val="auto"/>
                <w:sz w:val="22"/>
                <w:szCs w:val="22"/>
              </w:rPr>
            </w:pPr>
            <w:r>
              <w:rPr>
                <w:rFonts w:hint="eastAsia" w:ascii="仿宋" w:hAnsi="仿宋" w:eastAsia="仿宋" w:cs="仿宋"/>
                <w:color w:val="auto"/>
                <w:sz w:val="22"/>
                <w:szCs w:val="22"/>
              </w:rPr>
              <w:t>序号</w:t>
            </w:r>
          </w:p>
        </w:tc>
        <w:tc>
          <w:tcPr>
            <w:tcW w:w="2334" w:type="dxa"/>
            <w:shd w:val="clear" w:color="auto" w:fill="auto"/>
            <w:vAlign w:val="center"/>
          </w:tcPr>
          <w:p>
            <w:pPr>
              <w:pStyle w:val="12"/>
              <w:snapToGrid w:val="0"/>
              <w:jc w:val="center"/>
              <w:rPr>
                <w:rFonts w:hint="eastAsia" w:ascii="仿宋" w:hAnsi="仿宋" w:eastAsia="仿宋" w:cs="仿宋"/>
                <w:color w:val="auto"/>
                <w:sz w:val="22"/>
                <w:szCs w:val="22"/>
              </w:rPr>
            </w:pPr>
            <w:r>
              <w:rPr>
                <w:rFonts w:hint="eastAsia" w:ascii="仿宋" w:hAnsi="仿宋" w:eastAsia="仿宋" w:cs="仿宋"/>
                <w:color w:val="auto"/>
                <w:sz w:val="22"/>
                <w:szCs w:val="22"/>
              </w:rPr>
              <w:t>意见建议</w:t>
            </w:r>
          </w:p>
        </w:tc>
        <w:tc>
          <w:tcPr>
            <w:tcW w:w="5318" w:type="dxa"/>
            <w:shd w:val="clear" w:color="auto" w:fill="auto"/>
            <w:vAlign w:val="center"/>
          </w:tcPr>
          <w:p>
            <w:pPr>
              <w:pStyle w:val="12"/>
              <w:snapToGrid w:val="0"/>
              <w:jc w:val="center"/>
              <w:rPr>
                <w:rFonts w:hint="eastAsia" w:ascii="仿宋" w:hAnsi="仿宋" w:eastAsia="仿宋" w:cs="仿宋"/>
                <w:color w:val="auto"/>
                <w:sz w:val="22"/>
                <w:szCs w:val="22"/>
              </w:rPr>
            </w:pPr>
            <w:r>
              <w:rPr>
                <w:rFonts w:hint="eastAsia" w:ascii="仿宋" w:hAnsi="仿宋" w:eastAsia="仿宋" w:cs="仿宋"/>
                <w:color w:val="auto"/>
                <w:sz w:val="22"/>
                <w:szCs w:val="22"/>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0" w:type="dxa"/>
            <w:shd w:val="clear" w:color="auto" w:fill="auto"/>
            <w:vAlign w:val="center"/>
          </w:tcPr>
          <w:p>
            <w:pPr>
              <w:pStyle w:val="12"/>
              <w:snapToGrid w:val="0"/>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2334" w:type="dxa"/>
            <w:shd w:val="clear" w:color="auto" w:fill="auto"/>
            <w:vAlign w:val="center"/>
          </w:tcPr>
          <w:p>
            <w:pPr>
              <w:pStyle w:val="12"/>
              <w:snapToGrid w:val="0"/>
              <w:jc w:val="center"/>
              <w:rPr>
                <w:rFonts w:hint="eastAsia" w:ascii="仿宋" w:hAnsi="仿宋" w:eastAsia="仿宋" w:cs="仿宋"/>
                <w:color w:val="auto"/>
                <w:sz w:val="22"/>
                <w:szCs w:val="22"/>
              </w:rPr>
            </w:pPr>
            <w:r>
              <w:rPr>
                <w:rFonts w:hint="eastAsia" w:ascii="仿宋" w:hAnsi="仿宋" w:eastAsia="仿宋" w:cs="仿宋"/>
                <w:color w:val="auto"/>
                <w:sz w:val="22"/>
                <w:szCs w:val="22"/>
              </w:rPr>
              <w:t>加强日常管理</w:t>
            </w:r>
          </w:p>
        </w:tc>
        <w:tc>
          <w:tcPr>
            <w:tcW w:w="5318" w:type="dxa"/>
            <w:shd w:val="clear" w:color="auto" w:fill="auto"/>
            <w:vAlign w:val="center"/>
          </w:tcPr>
          <w:p>
            <w:pPr>
              <w:pStyle w:val="12"/>
              <w:snapToGrid w:val="0"/>
              <w:jc w:val="center"/>
              <w:rPr>
                <w:rFonts w:hint="eastAsia" w:ascii="仿宋" w:hAnsi="仿宋" w:eastAsia="仿宋" w:cs="仿宋"/>
                <w:color w:val="auto"/>
                <w:sz w:val="22"/>
                <w:szCs w:val="22"/>
              </w:rPr>
            </w:pPr>
            <w:r>
              <w:rPr>
                <w:rFonts w:hint="eastAsia" w:ascii="仿宋" w:hAnsi="仿宋" w:eastAsia="仿宋" w:cs="仿宋"/>
                <w:color w:val="auto"/>
                <w:sz w:val="22"/>
                <w:szCs w:val="22"/>
              </w:rPr>
              <w:t>采纳。定期进行应急预案演练、培训，明确各岗位人员职责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0" w:type="dxa"/>
            <w:shd w:val="clear" w:color="auto" w:fill="auto"/>
            <w:vAlign w:val="center"/>
          </w:tcPr>
          <w:p>
            <w:pPr>
              <w:pStyle w:val="12"/>
              <w:snapToGrid w:val="0"/>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p>
        </w:tc>
        <w:tc>
          <w:tcPr>
            <w:tcW w:w="2334" w:type="dxa"/>
            <w:shd w:val="clear" w:color="auto" w:fill="auto"/>
            <w:vAlign w:val="center"/>
          </w:tcPr>
          <w:p>
            <w:pPr>
              <w:pStyle w:val="12"/>
              <w:snapToGrid w:val="0"/>
              <w:jc w:val="center"/>
              <w:rPr>
                <w:rFonts w:hint="eastAsia" w:ascii="仿宋" w:hAnsi="仿宋" w:eastAsia="仿宋" w:cs="仿宋"/>
                <w:color w:val="auto"/>
                <w:sz w:val="22"/>
                <w:szCs w:val="22"/>
              </w:rPr>
            </w:pPr>
            <w:r>
              <w:rPr>
                <w:rFonts w:hint="eastAsia" w:ascii="仿宋" w:hAnsi="仿宋" w:eastAsia="仿宋" w:cs="仿宋"/>
                <w:color w:val="auto"/>
                <w:sz w:val="22"/>
                <w:szCs w:val="22"/>
              </w:rPr>
              <w:t>加强日常风险排查</w:t>
            </w:r>
          </w:p>
        </w:tc>
        <w:tc>
          <w:tcPr>
            <w:tcW w:w="5318" w:type="dxa"/>
            <w:shd w:val="clear" w:color="auto" w:fill="auto"/>
            <w:vAlign w:val="center"/>
          </w:tcPr>
          <w:p>
            <w:pPr>
              <w:pStyle w:val="12"/>
              <w:snapToGrid w:val="0"/>
              <w:jc w:val="center"/>
              <w:rPr>
                <w:rFonts w:hint="eastAsia" w:ascii="仿宋" w:hAnsi="仿宋" w:eastAsia="仿宋" w:cs="仿宋"/>
                <w:color w:val="auto"/>
                <w:sz w:val="22"/>
                <w:szCs w:val="22"/>
              </w:rPr>
            </w:pPr>
            <w:r>
              <w:rPr>
                <w:rFonts w:hint="eastAsia" w:ascii="仿宋" w:hAnsi="仿宋" w:eastAsia="仿宋" w:cs="仿宋"/>
                <w:color w:val="auto"/>
                <w:sz w:val="22"/>
                <w:szCs w:val="22"/>
              </w:rPr>
              <w:t>采纳。本公司在班人员加强厂区巡查频次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0" w:type="dxa"/>
            <w:shd w:val="clear" w:color="auto" w:fill="auto"/>
            <w:vAlign w:val="center"/>
          </w:tcPr>
          <w:p>
            <w:pPr>
              <w:pStyle w:val="12"/>
              <w:snapToGrid w:val="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2334" w:type="dxa"/>
            <w:shd w:val="clear" w:color="auto" w:fill="auto"/>
            <w:vAlign w:val="center"/>
          </w:tcPr>
          <w:p>
            <w:pPr>
              <w:pStyle w:val="12"/>
              <w:snapToGrid w:val="0"/>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及时补充应急物资</w:t>
            </w:r>
          </w:p>
        </w:tc>
        <w:tc>
          <w:tcPr>
            <w:tcW w:w="5318" w:type="dxa"/>
            <w:shd w:val="clear" w:color="auto" w:fill="auto"/>
            <w:vAlign w:val="center"/>
          </w:tcPr>
          <w:p>
            <w:pPr>
              <w:pStyle w:val="12"/>
              <w:snapToGrid w:val="0"/>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采纳。及时清点应急物资，缺少时及时补充到位</w:t>
            </w:r>
          </w:p>
        </w:tc>
      </w:tr>
    </w:tbl>
    <w:p>
      <w:pPr>
        <w:pStyle w:val="12"/>
        <w:snapToGrid w:val="0"/>
        <w:spacing w:before="156" w:beforeLines="50" w:after="156" w:afterLines="50" w:line="240" w:lineRule="auto"/>
        <w:ind w:firstLine="562" w:firstLineChars="200"/>
        <w:outlineLvl w:val="0"/>
        <w:rPr>
          <w:rFonts w:hint="eastAsia" w:ascii="仿宋" w:hAnsi="仿宋" w:eastAsia="仿宋" w:cs="仿宋"/>
          <w:b/>
          <w:bCs/>
          <w:color w:val="auto"/>
          <w:sz w:val="28"/>
          <w:szCs w:val="28"/>
        </w:rPr>
      </w:pPr>
      <w:bookmarkStart w:id="4" w:name="_Toc12563"/>
      <w:r>
        <w:rPr>
          <w:rFonts w:hint="eastAsia" w:ascii="仿宋" w:hAnsi="仿宋" w:eastAsia="仿宋" w:cs="仿宋"/>
          <w:b/>
          <w:bCs/>
          <w:color w:val="auto"/>
          <w:sz w:val="28"/>
          <w:szCs w:val="28"/>
          <w:lang w:eastAsia="zh-CN"/>
        </w:rPr>
        <w:t>六</w:t>
      </w:r>
      <w:r>
        <w:rPr>
          <w:rFonts w:hint="eastAsia" w:ascii="仿宋" w:hAnsi="仿宋" w:eastAsia="仿宋" w:cs="仿宋"/>
          <w:b/>
          <w:bCs/>
          <w:color w:val="auto"/>
          <w:sz w:val="28"/>
          <w:szCs w:val="28"/>
        </w:rPr>
        <w:t>、《预案》评审情况</w:t>
      </w:r>
    </w:p>
    <w:p>
      <w:pPr>
        <w:pStyle w:val="12"/>
        <w:snapToGrid w:val="0"/>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评审过程分为内部评审和外部评审。《预案》初稿形成后，由预案编制组各成员及生产岗位技术负责人员进行了内部审查，开会讨论，对各项内容进行了核实和修改，形成了《预案》送审稿。</w:t>
      </w:r>
    </w:p>
    <w:p>
      <w:pPr>
        <w:pStyle w:val="12"/>
        <w:snapToGrid w:val="0"/>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《预案》送审稿经由预案评审专家进行了技术评审，听取了各位专家的宝贵意见，并根据评审意见进一步修改完善，形成本《预案》。</w:t>
      </w:r>
    </w:p>
    <w:p>
      <w:pPr>
        <w:pStyle w:val="12"/>
        <w:snapToGrid w:val="0"/>
        <w:spacing w:before="156" w:beforeLines="50" w:after="156" w:afterLines="50" w:line="240" w:lineRule="auto"/>
        <w:ind w:firstLine="562" w:firstLineChars="200"/>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七</w:t>
      </w:r>
      <w:r>
        <w:rPr>
          <w:rFonts w:hint="eastAsia" w:ascii="仿宋" w:hAnsi="仿宋" w:eastAsia="仿宋" w:cs="仿宋"/>
          <w:b/>
          <w:bCs/>
          <w:color w:val="auto"/>
          <w:sz w:val="28"/>
          <w:szCs w:val="28"/>
        </w:rPr>
        <w:t>、需要说明的其他事项</w:t>
      </w:r>
    </w:p>
    <w:p>
      <w:pPr>
        <w:pStyle w:val="12"/>
        <w:snapToGrid w:val="0"/>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由于应急预案的编制专业性较强，本预案编制过程中难免有疏漏之处，请各位专家多提出宝贵意见。</w:t>
      </w:r>
    </w:p>
    <w:p>
      <w:pPr>
        <w:pStyle w:val="12"/>
        <w:snapToGrid w:val="0"/>
        <w:spacing w:before="156" w:beforeLines="50" w:after="156" w:afterLines="50" w:line="240" w:lineRule="auto"/>
        <w:ind w:firstLine="562" w:firstLineChars="200"/>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八、</w:t>
      </w:r>
      <w:r>
        <w:rPr>
          <w:rFonts w:hint="eastAsia" w:ascii="仿宋" w:hAnsi="仿宋" w:eastAsia="仿宋" w:cs="仿宋"/>
          <w:b/>
          <w:bCs/>
          <w:color w:val="auto"/>
          <w:sz w:val="28"/>
          <w:szCs w:val="28"/>
        </w:rPr>
        <w:t>演练暴露问题清单及解决措施</w:t>
      </w:r>
      <w:bookmarkEnd w:id="4"/>
    </w:p>
    <w:p>
      <w:pPr>
        <w:pStyle w:val="12"/>
        <w:snapToGrid w:val="0"/>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w:t>
      </w:r>
      <w:r>
        <w:rPr>
          <w:rFonts w:hint="eastAsia" w:ascii="仿宋" w:hAnsi="仿宋" w:eastAsia="仿宋" w:cs="仿宋"/>
          <w:color w:val="auto"/>
          <w:sz w:val="28"/>
          <w:szCs w:val="28"/>
          <w:lang w:eastAsia="zh-CN"/>
        </w:rPr>
        <w:t>中国石油天然气股份有限公司天津销售分公司津南泰和加油站</w:t>
      </w:r>
      <w:r>
        <w:rPr>
          <w:rFonts w:hint="eastAsia" w:ascii="仿宋" w:hAnsi="仿宋" w:eastAsia="仿宋" w:cs="仿宋"/>
          <w:color w:val="auto"/>
          <w:sz w:val="28"/>
          <w:szCs w:val="28"/>
        </w:rPr>
        <w:t>突发环境事件应急预案》内容，</w:t>
      </w:r>
      <w:r>
        <w:rPr>
          <w:rFonts w:hint="eastAsia" w:ascii="仿宋" w:hAnsi="仿宋" w:eastAsia="仿宋" w:cs="仿宋"/>
          <w:color w:val="auto"/>
          <w:sz w:val="28"/>
          <w:szCs w:val="28"/>
          <w:lang w:eastAsia="zh-CN"/>
        </w:rPr>
        <w:t>中国石油天然气股份有限公司天津销售分公司津南泰和加油站</w:t>
      </w:r>
      <w:r>
        <w:rPr>
          <w:rFonts w:hint="eastAsia" w:ascii="仿宋" w:hAnsi="仿宋" w:eastAsia="仿宋" w:cs="仿宋"/>
          <w:color w:val="auto"/>
          <w:sz w:val="28"/>
          <w:szCs w:val="28"/>
        </w:rPr>
        <w:t>对应急预案进行了桌面推演，推演过程中暴露出应急职责不明、应急物资放置位置不清楚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未与其他组织或单位签订应急救援协议或互救协议等问题。具体问题及应对措施如下表。</w:t>
      </w:r>
    </w:p>
    <w:p>
      <w:pPr>
        <w:pStyle w:val="12"/>
        <w:snapToGrid w:val="0"/>
        <w:spacing w:line="240" w:lineRule="auto"/>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表</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    问题清单及解决措施</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387"/>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70"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387"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演练暴露问题</w:t>
            </w:r>
          </w:p>
        </w:tc>
        <w:tc>
          <w:tcPr>
            <w:tcW w:w="4365"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0"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387"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应急小组中某些组员对自身岗位职责不明</w:t>
            </w:r>
          </w:p>
        </w:tc>
        <w:tc>
          <w:tcPr>
            <w:tcW w:w="4365"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定期组织应急预案培训，并进行测试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0"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387"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应急小组成员对应急物资放置地点不清楚</w:t>
            </w:r>
          </w:p>
        </w:tc>
        <w:tc>
          <w:tcPr>
            <w:tcW w:w="4365"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定期组织应急预案培训，重点培训应急物资储备形式及地点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0" w:type="dxa"/>
            <w:shd w:val="clear" w:color="auto" w:fill="auto"/>
            <w:vAlign w:val="center"/>
          </w:tcPr>
          <w:p>
            <w:pPr>
              <w:pStyle w:val="12"/>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3387"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未与其他组织或单位签订应急救援协议或互救协议</w:t>
            </w:r>
          </w:p>
        </w:tc>
        <w:tc>
          <w:tcPr>
            <w:tcW w:w="4365" w:type="dxa"/>
            <w:shd w:val="clear" w:color="auto" w:fill="auto"/>
            <w:vAlign w:val="center"/>
          </w:tcPr>
          <w:p>
            <w:pPr>
              <w:pStyle w:val="12"/>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抓紧与周边企业和医疗机构签订应急救援协议或互救协议。</w:t>
            </w:r>
          </w:p>
        </w:tc>
      </w:tr>
      <w:bookmarkEnd w:id="0"/>
    </w:tbl>
    <w:p>
      <w:pPr>
        <w:pStyle w:val="3"/>
        <w:rPr>
          <w:rFonts w:hint="default" w:ascii="Times New Roman" w:hAnsi="Times New Roman" w:eastAsia="宋体" w:cs="Times New Roman"/>
          <w:color w:val="auto"/>
          <w:kern w:val="0"/>
          <w:sz w:val="24"/>
          <w:highlight w:val="none"/>
          <w:shd w:val="clear" w:color="auto" w:fill="auto"/>
        </w:rPr>
      </w:pPr>
    </w:p>
    <w:p>
      <w:pPr>
        <w:pStyle w:val="4"/>
        <w:rPr>
          <w:rFonts w:hint="eastAsia" w:eastAsia="宋体"/>
          <w:b/>
          <w:bCs/>
          <w:lang w:eastAsia="zh-CN"/>
        </w:rPr>
      </w:pPr>
      <w:r>
        <w:rPr>
          <w:rFonts w:hint="eastAsia" w:ascii="Times New Roman" w:eastAsia="宋体" w:cs="Times New Roman"/>
          <w:b/>
          <w:bCs/>
          <w:color w:val="auto"/>
          <w:kern w:val="0"/>
          <w:sz w:val="24"/>
          <w:highlight w:val="none"/>
          <w:shd w:val="clear" w:color="auto" w:fill="auto"/>
          <w:lang w:eastAsia="zh-CN"/>
        </w:rPr>
        <w:t>附件</w:t>
      </w:r>
      <w:r>
        <w:rPr>
          <w:rFonts w:hint="eastAsia" w:ascii="Times New Roman" w:eastAsia="宋体" w:cs="Times New Roman"/>
          <w:b/>
          <w:bCs/>
          <w:color w:val="auto"/>
          <w:kern w:val="0"/>
          <w:sz w:val="24"/>
          <w:highlight w:val="none"/>
          <w:shd w:val="clear" w:color="auto" w:fill="auto"/>
          <w:lang w:val="en-US" w:eastAsia="zh-CN"/>
        </w:rPr>
        <w:t xml:space="preserve"> </w:t>
      </w:r>
      <w:r>
        <w:rPr>
          <w:rFonts w:hint="eastAsia" w:ascii="Times New Roman" w:eastAsia="宋体" w:cs="Times New Roman"/>
          <w:b/>
          <w:bCs/>
          <w:color w:val="auto"/>
          <w:kern w:val="0"/>
          <w:sz w:val="24"/>
          <w:highlight w:val="none"/>
          <w:shd w:val="clear" w:color="auto" w:fill="auto"/>
          <w:lang w:eastAsia="zh-CN"/>
        </w:rPr>
        <w:t>征求意见表</w:t>
      </w:r>
    </w:p>
    <w:sectPr>
      <w:headerReference r:id="rId6" w:type="default"/>
      <w:footerReference r:id="rId7" w:type="default"/>
      <w:pgSz w:w="11907" w:h="16839"/>
      <w:pgMar w:top="1440" w:right="1800" w:bottom="1440" w:left="1800" w:header="851" w:footer="992" w:gutter="0"/>
      <w:pgNumType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0"/>
      </w:pBdr>
      <w:tabs>
        <w:tab w:val="right" w:pos="8306"/>
        <w:tab w:val="clear" w:pos="8307"/>
      </w:tabs>
      <w:jc w:val="center"/>
    </w:pPr>
    <w:r>
      <w:rPr>
        <w:rFonts w:hint="eastAsia"/>
        <w:lang w:eastAsia="zh-CN"/>
      </w:rPr>
      <w:t>中国石油天然气股份有限公司天津销售分公司津南泰和加油站突发环境事件应急预案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C662F"/>
    <w:multiLevelType w:val="multilevel"/>
    <w:tmpl w:val="51FC662F"/>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pStyle w:val="7"/>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pStyle w:val="6"/>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735"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421701C"/>
    <w:rsid w:val="05533416"/>
    <w:rsid w:val="07E311FE"/>
    <w:rsid w:val="08507FED"/>
    <w:rsid w:val="089932F0"/>
    <w:rsid w:val="0D2E58B6"/>
    <w:rsid w:val="0F274A5E"/>
    <w:rsid w:val="13AB303F"/>
    <w:rsid w:val="16BC3D56"/>
    <w:rsid w:val="1A656337"/>
    <w:rsid w:val="1D6E5410"/>
    <w:rsid w:val="1FDF5F03"/>
    <w:rsid w:val="24F925B2"/>
    <w:rsid w:val="2E7D5F75"/>
    <w:rsid w:val="2F45181A"/>
    <w:rsid w:val="2FE36F9B"/>
    <w:rsid w:val="38337E82"/>
    <w:rsid w:val="3F5443FE"/>
    <w:rsid w:val="429B2ABE"/>
    <w:rsid w:val="490D6158"/>
    <w:rsid w:val="4C1236E7"/>
    <w:rsid w:val="4E12700B"/>
    <w:rsid w:val="594D7CA5"/>
    <w:rsid w:val="5E1D6814"/>
    <w:rsid w:val="680A13EF"/>
    <w:rsid w:val="6A7C051D"/>
    <w:rsid w:val="6A993917"/>
    <w:rsid w:val="6D29513F"/>
    <w:rsid w:val="6D441371"/>
    <w:rsid w:val="736B50D5"/>
    <w:rsid w:val="7A412C8F"/>
    <w:rsid w:val="7F4D3D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widowControl w:val="0"/>
      <w:spacing w:before="340" w:after="330" w:line="578" w:lineRule="auto"/>
      <w:outlineLvl w:val="0"/>
    </w:pPr>
    <w:rPr>
      <w:b/>
      <w:kern w:val="44"/>
      <w:sz w:val="44"/>
    </w:rPr>
  </w:style>
  <w:style w:type="paragraph" w:styleId="9">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10">
    <w:name w:val="heading 3"/>
    <w:basedOn w:val="1"/>
    <w:next w:val="1"/>
    <w:qFormat/>
    <w:uiPriority w:val="0"/>
    <w:pPr>
      <w:keepNext/>
      <w:keepLines/>
      <w:widowControl w:val="0"/>
      <w:spacing w:before="260" w:after="260" w:line="415" w:lineRule="auto"/>
      <w:outlineLvl w:val="2"/>
    </w:pPr>
    <w:rPr>
      <w:b/>
      <w:sz w:val="32"/>
    </w:rPr>
  </w:style>
  <w:style w:type="character" w:default="1" w:styleId="21">
    <w:name w:val="Default Paragraph Font"/>
    <w:qFormat/>
    <w:uiPriority w:val="0"/>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widowControl w:val="0"/>
      <w:adjustRightInd w:val="0"/>
      <w:snapToGrid w:val="0"/>
      <w:spacing w:line="360" w:lineRule="auto"/>
      <w:jc w:val="both"/>
    </w:pPr>
    <w:rPr>
      <w:rFonts w:ascii="宋体" w:eastAsia="宋体" w:cs="Times New Roman"/>
      <w:kern w:val="2"/>
      <w:sz w:val="24"/>
      <w:lang w:val="en-US" w:eastAsia="zh-CN" w:bidi="ar-SA"/>
    </w:rPr>
  </w:style>
  <w:style w:type="paragraph" w:customStyle="1" w:styleId="3">
    <w:name w:val="表格"/>
    <w:basedOn w:val="1"/>
    <w:next w:val="4"/>
    <w:qFormat/>
    <w:uiPriority w:val="0"/>
    <w:pPr>
      <w:adjustRightInd w:val="0"/>
      <w:snapToGrid w:val="0"/>
      <w:jc w:val="center"/>
      <w:textAlignment w:val="baseline"/>
    </w:pPr>
    <w:rPr>
      <w:rFonts w:eastAsia="宋体"/>
      <w:sz w:val="21"/>
      <w:lang w:val="en-US" w:eastAsia="zh-CN"/>
    </w:rPr>
  </w:style>
  <w:style w:type="paragraph" w:customStyle="1" w:styleId="4">
    <w:name w:val="三级条标题"/>
    <w:basedOn w:val="5"/>
    <w:next w:val="1"/>
    <w:qFormat/>
    <w:uiPriority w:val="0"/>
    <w:pPr>
      <w:tabs>
        <w:tab w:val="left" w:pos="0"/>
      </w:tabs>
      <w:ind w:left="0"/>
      <w:outlineLvl w:val="4"/>
    </w:pPr>
  </w:style>
  <w:style w:type="paragraph" w:customStyle="1" w:styleId="5">
    <w:name w:val="二级条标题"/>
    <w:basedOn w:val="6"/>
    <w:next w:val="1"/>
    <w:qFormat/>
    <w:uiPriority w:val="0"/>
    <w:pPr>
      <w:numPr>
        <w:ilvl w:val="0"/>
        <w:numId w:val="0"/>
      </w:numPr>
      <w:tabs>
        <w:tab w:val="left" w:pos="0"/>
      </w:tabs>
      <w:ind w:left="735"/>
      <w:outlineLvl w:val="3"/>
    </w:pPr>
  </w:style>
  <w:style w:type="paragraph" w:customStyle="1" w:styleId="6">
    <w:name w:val="一级条标题"/>
    <w:basedOn w:val="7"/>
    <w:next w:val="1"/>
    <w:qFormat/>
    <w:uiPriority w:val="0"/>
    <w:pPr>
      <w:numPr>
        <w:ilvl w:val="2"/>
        <w:numId w:val="1"/>
      </w:numPr>
      <w:spacing w:before="0" w:beforeLines="0" w:after="0" w:afterLines="0"/>
      <w:outlineLvl w:val="2"/>
    </w:pPr>
  </w:style>
  <w:style w:type="paragraph" w:customStyle="1" w:styleId="7">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styleId="11">
    <w:name w:val="Body Text"/>
    <w:basedOn w:val="1"/>
    <w:qFormat/>
    <w:uiPriority w:val="0"/>
    <w:pPr>
      <w:adjustRightInd w:val="0"/>
      <w:snapToGrid w:val="0"/>
      <w:spacing w:line="360" w:lineRule="auto"/>
    </w:pPr>
    <w:rPr>
      <w:rFonts w:ascii="Times New Roman" w:hAnsi="Times New Roman" w:eastAsia="宋体" w:cs="Times New Roman"/>
      <w:sz w:val="24"/>
      <w:szCs w:val="20"/>
    </w:rPr>
  </w:style>
  <w:style w:type="paragraph" w:styleId="12">
    <w:name w:val="Plain Text"/>
    <w:basedOn w:val="1"/>
    <w:qFormat/>
    <w:uiPriority w:val="0"/>
    <w:rPr>
      <w:rFonts w:ascii="宋体" w:hAnsi="Courier New" w:eastAsia="宋体" w:cs="Times New Roman"/>
      <w:szCs w:val="20"/>
    </w:rPr>
  </w:style>
  <w:style w:type="paragraph" w:styleId="13">
    <w:name w:val="footer"/>
    <w:basedOn w:val="1"/>
    <w:qFormat/>
    <w:uiPriority w:val="0"/>
    <w:pPr>
      <w:tabs>
        <w:tab w:val="center" w:pos="4153"/>
        <w:tab w:val="right" w:pos="8307"/>
      </w:tabs>
      <w:snapToGrid w:val="0"/>
      <w:jc w:val="left"/>
    </w:pPr>
    <w:rPr>
      <w:sz w:val="18"/>
    </w:rPr>
  </w:style>
  <w:style w:type="paragraph" w:styleId="14">
    <w:name w:val="header"/>
    <w:basedOn w:val="1"/>
    <w:qFormat/>
    <w:uiPriority w:val="0"/>
    <w:pPr>
      <w:pBdr>
        <w:bottom w:val="single" w:color="auto" w:sz="6" w:space="1"/>
      </w:pBdr>
      <w:tabs>
        <w:tab w:val="center" w:pos="4153"/>
        <w:tab w:val="right" w:pos="8307"/>
      </w:tabs>
      <w:snapToGrid w:val="0"/>
      <w:jc w:val="center"/>
    </w:pPr>
    <w:rPr>
      <w:sz w:val="18"/>
    </w:rPr>
  </w:style>
  <w:style w:type="paragraph" w:styleId="15">
    <w:name w:val="toc 1"/>
    <w:basedOn w:val="1"/>
    <w:next w:val="1"/>
    <w:qFormat/>
    <w:uiPriority w:val="0"/>
    <w:pPr>
      <w:widowControl w:val="0"/>
      <w:jc w:val="center"/>
    </w:pPr>
    <w:rPr>
      <w:rFonts w:ascii="Times New Roman" w:hAnsi="Times New Roman" w:eastAsia="宋体" w:cs="Times New Roman"/>
      <w:kern w:val="2"/>
      <w:sz w:val="30"/>
      <w:szCs w:val="30"/>
      <w:lang w:val="en-US" w:eastAsia="zh-CN" w:bidi="ar-SA"/>
    </w:rPr>
  </w:style>
  <w:style w:type="paragraph" w:styleId="16">
    <w:name w:val="index 7"/>
    <w:basedOn w:val="1"/>
    <w:next w:val="1"/>
    <w:qFormat/>
    <w:uiPriority w:val="0"/>
    <w:pPr>
      <w:ind w:left="2520"/>
      <w:jc w:val="center"/>
    </w:pPr>
  </w:style>
  <w:style w:type="paragraph" w:styleId="17">
    <w:name w:val="toc 2"/>
    <w:basedOn w:val="1"/>
    <w:next w:val="1"/>
    <w:qFormat/>
    <w:uiPriority w:val="0"/>
    <w:pPr>
      <w:ind w:left="420"/>
    </w:pPr>
  </w:style>
  <w:style w:type="paragraph" w:styleId="18">
    <w:name w:val="Title"/>
    <w:basedOn w:val="1"/>
    <w:qFormat/>
    <w:uiPriority w:val="0"/>
    <w:pPr>
      <w:spacing w:before="240" w:after="60"/>
      <w:jc w:val="center"/>
      <w:outlineLvl w:val="0"/>
    </w:pPr>
    <w:rPr>
      <w:rFonts w:ascii="Arial" w:hAnsi="Arial"/>
      <w:b/>
      <w:sz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环境预案正文"/>
    <w:basedOn w:val="1"/>
    <w:qFormat/>
    <w:uiPriority w:val="0"/>
    <w:pPr>
      <w:tabs>
        <w:tab w:val="left" w:pos="4540"/>
      </w:tabs>
      <w:ind w:firstLine="200" w:firstLineChars="200"/>
    </w:pPr>
    <w:rPr>
      <w:rFonts w:ascii="Times New Roman" w:hAnsi="Times New Roman"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1</Company>
  <Pages>11</Pages>
  <Words>4116</Words>
  <Characters>4218</Characters>
  <Lines>533</Lines>
  <Paragraphs>170</Paragraphs>
  <TotalTime>9</TotalTime>
  <ScaleCrop>false</ScaleCrop>
  <LinksUpToDate>false</LinksUpToDate>
  <CharactersWithSpaces>4283</CharactersWithSpaces>
  <Application>WPS Office_11.1.0.8952_F1E327BC-269C-435d-A152-05C5408002CA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2018-08-14T09:06:00Z</dcterms:created>
  <dc:creator>Admin</dc:creator>
  <cp:lastModifiedBy>崔艳玲</cp:lastModifiedBy>
  <cp:lastPrinted>2019-08-09T09:25:26Z</cp:lastPrinted>
  <dcterms:modified xsi:type="dcterms:W3CDTF">2019-08-09T09:25:43Z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