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eastAsia="zh-CN"/>
        </w:rPr>
      </w:pPr>
      <w:r>
        <w:rPr>
          <w:rFonts w:hint="eastAsia"/>
          <w:b/>
          <w:bCs/>
          <w:sz w:val="24"/>
          <w:szCs w:val="32"/>
          <w:lang w:eastAsia="zh-CN"/>
        </w:rPr>
        <w:t>修改说明</w:t>
      </w:r>
    </w:p>
    <w:tbl>
      <w:tblPr>
        <w:tblStyle w:val="3"/>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28"/>
        <w:gridCol w:w="4614"/>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序号</w:t>
            </w:r>
          </w:p>
        </w:tc>
        <w:tc>
          <w:tcPr>
            <w:tcW w:w="5342"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修改意见和建议</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修改情况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1</w:t>
            </w:r>
          </w:p>
        </w:tc>
        <w:tc>
          <w:tcPr>
            <w:tcW w:w="5342" w:type="dxa"/>
            <w:gridSpan w:val="2"/>
            <w:vAlign w:val="center"/>
          </w:tcPr>
          <w:p>
            <w:pPr>
              <w:pStyle w:val="5"/>
              <w:numPr>
                <w:ilvl w:val="0"/>
                <w:numId w:val="0"/>
              </w:numPr>
              <w:adjustRightInd w:val="0"/>
              <w:snapToGrid w:val="0"/>
              <w:ind w:leftChars="0"/>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完善编制依据，对引用的法律法规、标准规范等适用性及版本进行筛选、更新。</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已修改，见应急预案及风险评估报告编制依据。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2</w:t>
            </w: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sz w:val="24"/>
                <w:szCs w:val="21"/>
              </w:rPr>
              <w:t>环境风险评估报告</w:t>
            </w:r>
          </w:p>
        </w:tc>
        <w:tc>
          <w:tcPr>
            <w:tcW w:w="4614" w:type="dxa"/>
            <w:vAlign w:val="center"/>
          </w:tcPr>
          <w:p>
            <w:pPr>
              <w:pStyle w:val="5"/>
              <w:numPr>
                <w:ilvl w:val="0"/>
                <w:numId w:val="0"/>
              </w:numPr>
              <w:adjustRightInd w:val="0"/>
              <w:snapToGrid w:val="0"/>
              <w:ind w:leftChars="0"/>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完善大气环境风险受体调查，细化大气环境风险受体500m范围内的企事业单位及5km范围内敏感点的调查，细化10km范围内自然水体分布情况，核实是否涉及饮用水源保护区等。</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P8第3.2节（1）（2）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szCs w:val="21"/>
              </w:rPr>
            </w:pPr>
          </w:p>
        </w:tc>
        <w:tc>
          <w:tcPr>
            <w:tcW w:w="4614" w:type="dxa"/>
            <w:vAlign w:val="center"/>
          </w:tcPr>
          <w:p>
            <w:pPr>
              <w:pStyle w:val="5"/>
              <w:numPr>
                <w:ilvl w:val="0"/>
                <w:numId w:val="0"/>
              </w:numPr>
              <w:adjustRightInd w:val="0"/>
              <w:snapToGrid w:val="0"/>
              <w:ind w:leftChars="0"/>
              <w:rPr>
                <w:rFonts w:hint="eastAsia" w:ascii="Times New Roman" w:hAnsi="Times New Roman" w:eastAsia="宋体"/>
                <w:sz w:val="24"/>
                <w:szCs w:val="21"/>
              </w:rPr>
            </w:pPr>
            <w:r>
              <w:rPr>
                <w:rFonts w:hint="eastAsia" w:ascii="Times New Roman" w:hAnsi="Times New Roman" w:eastAsia="宋体"/>
                <w:sz w:val="24"/>
                <w:vertAlign w:val="baseline"/>
                <w:lang w:eastAsia="zh-CN"/>
              </w:rPr>
              <w:t>细化加油站周边土壤情况，明确利用现状。</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P11第3.2节（3）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szCs w:val="21"/>
              </w:rPr>
            </w:pPr>
          </w:p>
        </w:tc>
        <w:tc>
          <w:tcPr>
            <w:tcW w:w="4614" w:type="dxa"/>
            <w:vAlign w:val="center"/>
          </w:tcPr>
          <w:p>
            <w:pPr>
              <w:pStyle w:val="5"/>
              <w:numPr>
                <w:ilvl w:val="0"/>
                <w:numId w:val="0"/>
              </w:numPr>
              <w:adjustRightInd w:val="0"/>
              <w:snapToGrid w:val="0"/>
              <w:ind w:leftChars="0"/>
              <w:rPr>
                <w:rFonts w:hint="eastAsia" w:ascii="Times New Roman" w:hAnsi="Times New Roman" w:eastAsia="宋体"/>
                <w:color w:val="000000" w:themeColor="text1"/>
                <w:sz w:val="24"/>
                <w:szCs w:val="21"/>
                <w:lang w:eastAsia="zh-CN"/>
                <w14:textFill>
                  <w14:solidFill>
                    <w14:schemeClr w14:val="tx1"/>
                  </w14:solidFill>
                </w14:textFill>
              </w:rPr>
            </w:pPr>
            <w:r>
              <w:rPr>
                <w:rFonts w:hint="eastAsia" w:ascii="Times New Roman" w:hAnsi="Times New Roman" w:eastAsia="宋体"/>
                <w:sz w:val="24"/>
                <w:vertAlign w:val="baseline"/>
                <w:lang w:eastAsia="zh-CN"/>
              </w:rPr>
              <w:t>补充生产工艺过程风险防控措施与突发大气环境事件发生情况评估赋值原因。</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P53</w:t>
            </w:r>
            <w:r>
              <w:rPr>
                <w:rFonts w:hint="eastAsia" w:ascii="Times New Roman" w:hAnsi="Times New Roman" w:eastAsia="宋体"/>
                <w:sz w:val="24"/>
                <w:vertAlign w:val="baseline"/>
                <w:lang w:eastAsia="zh-CN"/>
              </w:rPr>
              <w:t>表</w:t>
            </w:r>
            <w:r>
              <w:rPr>
                <w:rFonts w:hint="eastAsia" w:ascii="Times New Roman" w:hAnsi="Times New Roman" w:eastAsia="宋体"/>
                <w:sz w:val="24"/>
                <w:vertAlign w:val="baseline"/>
                <w:lang w:val="en-US" w:eastAsia="zh-CN"/>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szCs w:val="21"/>
              </w:rPr>
            </w:pPr>
          </w:p>
        </w:tc>
        <w:tc>
          <w:tcPr>
            <w:tcW w:w="4614" w:type="dxa"/>
            <w:vAlign w:val="center"/>
          </w:tcPr>
          <w:p>
            <w:pPr>
              <w:pStyle w:val="5"/>
              <w:numPr>
                <w:ilvl w:val="0"/>
                <w:numId w:val="0"/>
              </w:numPr>
              <w:adjustRightInd w:val="0"/>
              <w:snapToGrid w:val="0"/>
              <w:ind w:leftChars="0"/>
              <w:rPr>
                <w:rFonts w:hint="eastAsia" w:ascii="Times New Roman" w:hAnsi="Times New Roman" w:eastAsia="宋体"/>
                <w:sz w:val="24"/>
                <w:szCs w:val="21"/>
                <w:lang w:eastAsia="zh-CN"/>
              </w:rPr>
            </w:pPr>
            <w:r>
              <w:rPr>
                <w:rFonts w:hint="eastAsia" w:ascii="Times New Roman" w:hAnsi="Times New Roman" w:eastAsia="宋体"/>
                <w:sz w:val="24"/>
                <w:vertAlign w:val="baseline"/>
                <w:lang w:eastAsia="zh-CN"/>
              </w:rPr>
              <w:t>完善突发环境事件情景分析，针对每种典型事件情景定量完善源强分析（包括排放速率、响应时间等），补充说明柴油储罐不进行事故量化分析的原因，进一步明确各事故情景影响途径、最大影响范围及影响后果（定量）。</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P26</w:t>
            </w:r>
            <w:r>
              <w:rPr>
                <w:rFonts w:hint="eastAsia" w:ascii="Times New Roman" w:hAnsi="Times New Roman" w:eastAsia="宋体"/>
                <w:sz w:val="24"/>
                <w:vertAlign w:val="baseline"/>
                <w:lang w:eastAsia="zh-CN"/>
              </w:rPr>
              <w:t>第</w:t>
            </w:r>
            <w:r>
              <w:rPr>
                <w:rFonts w:hint="eastAsia" w:ascii="Times New Roman" w:hAnsi="Times New Roman" w:eastAsia="宋体"/>
                <w:sz w:val="24"/>
                <w:vertAlign w:val="baseline"/>
                <w:lang w:val="en-US" w:eastAsia="zh-CN"/>
              </w:rPr>
              <w:t>4.2节，P31第4.3.3节（3）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szCs w:val="21"/>
              </w:rPr>
            </w:pPr>
          </w:p>
        </w:tc>
        <w:tc>
          <w:tcPr>
            <w:tcW w:w="4614" w:type="dxa"/>
            <w:vAlign w:val="center"/>
          </w:tcPr>
          <w:p>
            <w:pPr>
              <w:pStyle w:val="5"/>
              <w:numPr>
                <w:ilvl w:val="0"/>
                <w:numId w:val="0"/>
              </w:numPr>
              <w:adjustRightInd w:val="0"/>
              <w:snapToGrid w:val="0"/>
              <w:ind w:leftChars="0"/>
              <w:rPr>
                <w:rFonts w:hint="eastAsia" w:ascii="Times New Roman" w:hAnsi="Times New Roman" w:eastAsia="宋体"/>
                <w:sz w:val="24"/>
                <w:szCs w:val="21"/>
              </w:rPr>
            </w:pPr>
            <w:r>
              <w:rPr>
                <w:rFonts w:hint="eastAsia" w:ascii="Times New Roman" w:hAnsi="Times New Roman" w:eastAsia="宋体"/>
                <w:sz w:val="24"/>
                <w:vertAlign w:val="baseline"/>
                <w:lang w:eastAsia="zh-CN"/>
              </w:rPr>
              <w:t>核实环境风险防控与应急措施整改内容，明确是否需要增加消防废水收纳设施。补充说明事故状况下雨污截留措施，包括需要哪些应急物资、具体操作环节、废水去向、事故发生后</w:t>
            </w:r>
            <w:bookmarkStart w:id="0" w:name="_GoBack"/>
            <w:bookmarkEnd w:id="0"/>
            <w:r>
              <w:rPr>
                <w:rFonts w:hint="eastAsia" w:ascii="Times New Roman" w:hAnsi="Times New Roman" w:eastAsia="宋体"/>
                <w:sz w:val="24"/>
                <w:vertAlign w:val="baseline"/>
                <w:lang w:eastAsia="zh-CN"/>
              </w:rPr>
              <w:t>截堵的响应时间、需用物资调用的时间等，确保截堵方案有效性等，定量分析厂区内对消防废水容纳的可行性。</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已修改，见第</w:t>
            </w:r>
            <w:r>
              <w:rPr>
                <w:rFonts w:hint="eastAsia" w:ascii="Times New Roman" w:hAnsi="Times New Roman" w:eastAsia="宋体"/>
                <w:sz w:val="24"/>
                <w:vertAlign w:val="baseline"/>
                <w:lang w:val="en-US" w:eastAsia="zh-CN"/>
              </w:rPr>
              <w:t>5章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3</w:t>
            </w:r>
          </w:p>
        </w:tc>
        <w:tc>
          <w:tcPr>
            <w:tcW w:w="72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color w:val="000000" w:themeColor="text1"/>
                <w:sz w:val="24"/>
                <w:szCs w:val="21"/>
                <w14:textFill>
                  <w14:solidFill>
                    <w14:schemeClr w14:val="tx1"/>
                  </w14:solidFill>
                </w14:textFill>
              </w:rPr>
              <w:t>应急资源调查报告</w:t>
            </w:r>
          </w:p>
        </w:tc>
        <w:tc>
          <w:tcPr>
            <w:tcW w:w="4614"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补充调查报告编制依据。</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P2“2编制依据”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val="en-US" w:eastAsia="zh-CN"/>
              </w:rPr>
              <w:t>4</w:t>
            </w:r>
          </w:p>
        </w:tc>
        <w:tc>
          <w:tcPr>
            <w:tcW w:w="728"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eastAsia="zh-CN"/>
              </w:rPr>
            </w:pPr>
            <w:r>
              <w:rPr>
                <w:rFonts w:hint="eastAsia" w:ascii="Times New Roman" w:hAnsi="Times New Roman" w:eastAsia="宋体"/>
                <w:color w:val="000000" w:themeColor="text1"/>
                <w:sz w:val="24"/>
                <w:szCs w:val="21"/>
                <w14:textFill>
                  <w14:solidFill>
                    <w14:schemeClr w14:val="tx1"/>
                  </w14:solidFill>
                </w14:textFill>
              </w:rPr>
              <w:t>应急预案</w:t>
            </w:r>
          </w:p>
        </w:tc>
        <w:tc>
          <w:tcPr>
            <w:tcW w:w="4614" w:type="dxa"/>
            <w:vAlign w:val="center"/>
          </w:tcPr>
          <w:p>
            <w:pPr>
              <w:pStyle w:val="5"/>
              <w:numPr>
                <w:ilvl w:val="0"/>
                <w:numId w:val="0"/>
              </w:numPr>
              <w:adjustRightInd w:val="0"/>
              <w:snapToGrid w:val="0"/>
              <w:ind w:leftChars="0"/>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完善应急预案关系图。</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P4图1.5-1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000000" w:themeColor="text1"/>
                <w:sz w:val="24"/>
                <w:szCs w:val="21"/>
                <w14:textFill>
                  <w14:solidFill>
                    <w14:schemeClr w14:val="tx1"/>
                  </w14:solidFill>
                </w14:textFill>
              </w:rPr>
            </w:pPr>
          </w:p>
        </w:tc>
        <w:tc>
          <w:tcPr>
            <w:tcW w:w="4614"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完善应急监测原则及计划，核实应急监测方案，包括监测因子、监测点位及监测频次等。</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P44第7.4节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000000" w:themeColor="text1"/>
                <w:sz w:val="24"/>
                <w:szCs w:val="21"/>
                <w14:textFill>
                  <w14:solidFill>
                    <w14:schemeClr w14:val="tx1"/>
                  </w14:solidFill>
                </w14:textFill>
              </w:rPr>
            </w:pPr>
          </w:p>
        </w:tc>
        <w:tc>
          <w:tcPr>
            <w:tcW w:w="4614" w:type="dxa"/>
            <w:vAlign w:val="center"/>
          </w:tcPr>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明确演练（一般为检验性的桌面推演）是否暴露问题，补充解决措施清单。</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P53第10.2节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000000" w:themeColor="text1"/>
                <w:sz w:val="24"/>
                <w:szCs w:val="21"/>
                <w14:textFill>
                  <w14:solidFill>
                    <w14:schemeClr w14:val="tx1"/>
                  </w14:solidFill>
                </w14:textFill>
              </w:rPr>
            </w:pPr>
          </w:p>
        </w:tc>
        <w:tc>
          <w:tcPr>
            <w:tcW w:w="4614" w:type="dxa"/>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eastAsia" w:ascii="Times New Roman" w:hAnsi="Times New Roman" w:eastAsia="宋体"/>
                <w:sz w:val="24"/>
                <w:vertAlign w:val="baseline"/>
                <w:lang w:eastAsia="zh-CN"/>
              </w:rPr>
            </w:pPr>
            <w:r>
              <w:rPr>
                <w:rFonts w:hint="eastAsia" w:ascii="Times New Roman" w:hAnsi="Times New Roman" w:eastAsia="宋体"/>
                <w:sz w:val="24"/>
                <w:vertAlign w:val="baseline"/>
                <w:lang w:eastAsia="zh-CN"/>
              </w:rPr>
              <w:t>细化完善应急处置卡。</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sz w:val="24"/>
                <w:vertAlign w:val="baseline"/>
                <w:lang w:val="en-US" w:eastAsia="zh-CN"/>
              </w:rPr>
            </w:pPr>
          </w:p>
        </w:tc>
        <w:tc>
          <w:tcPr>
            <w:tcW w:w="728"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olor w:val="000000" w:themeColor="text1"/>
                <w:sz w:val="24"/>
                <w:szCs w:val="21"/>
                <w14:textFill>
                  <w14:solidFill>
                    <w14:schemeClr w14:val="tx1"/>
                  </w14:solidFill>
                </w14:textFill>
              </w:rPr>
            </w:pPr>
          </w:p>
        </w:tc>
        <w:tc>
          <w:tcPr>
            <w:tcW w:w="4614" w:type="dxa"/>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jc w:val="left"/>
              <w:textAlignment w:val="auto"/>
              <w:rPr>
                <w:rFonts w:hint="eastAsia" w:ascii="Times New Roman" w:hAnsi="Times New Roman" w:eastAsia="宋体"/>
                <w:color w:val="000000" w:themeColor="text1"/>
                <w:sz w:val="24"/>
                <w:szCs w:val="21"/>
                <w14:textFill>
                  <w14:solidFill>
                    <w14:schemeClr w14:val="tx1"/>
                  </w14:solidFill>
                </w14:textFill>
              </w:rPr>
            </w:pPr>
            <w:r>
              <w:rPr>
                <w:rFonts w:hint="eastAsia" w:ascii="Times New Roman" w:hAnsi="Times New Roman" w:eastAsia="宋体"/>
                <w:sz w:val="24"/>
                <w:vertAlign w:val="baseline"/>
                <w:lang w:eastAsia="zh-CN"/>
              </w:rPr>
              <w:t>补充事故状态下人员疏散图等。</w:t>
            </w:r>
          </w:p>
        </w:tc>
        <w:tc>
          <w:tcPr>
            <w:tcW w:w="3067"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sz w:val="24"/>
                <w:vertAlign w:val="baseline"/>
                <w:lang w:val="en-US" w:eastAsia="zh-CN"/>
              </w:rPr>
            </w:pPr>
            <w:r>
              <w:rPr>
                <w:rFonts w:hint="eastAsia" w:ascii="Times New Roman" w:hAnsi="Times New Roman" w:eastAsia="宋体"/>
                <w:sz w:val="24"/>
                <w:vertAlign w:val="baseline"/>
                <w:lang w:eastAsia="zh-CN"/>
              </w:rPr>
              <w:t>已修改，见</w:t>
            </w:r>
            <w:r>
              <w:rPr>
                <w:rFonts w:hint="eastAsia" w:ascii="Times New Roman" w:hAnsi="Times New Roman" w:eastAsia="宋体"/>
                <w:sz w:val="24"/>
                <w:vertAlign w:val="baseline"/>
                <w:lang w:val="en-US" w:eastAsia="zh-CN"/>
              </w:rPr>
              <w:t>附图5</w:t>
            </w:r>
          </w:p>
        </w:tc>
      </w:tr>
    </w:tbl>
    <w:p>
      <w:pPr>
        <w:rPr>
          <w:rFonts w:hint="eastAsia"/>
          <w:lang w:eastAsia="zh-CN"/>
        </w:rPr>
      </w:pPr>
    </w:p>
    <w:sectPr>
      <w:pgSz w:w="11906" w:h="16838"/>
      <w:pgMar w:top="1440" w:right="1463" w:bottom="121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30C4C"/>
    <w:rsid w:val="00C1609A"/>
    <w:rsid w:val="02DC6971"/>
    <w:rsid w:val="0DEA639A"/>
    <w:rsid w:val="19544B5D"/>
    <w:rsid w:val="2518357F"/>
    <w:rsid w:val="2A230C4C"/>
    <w:rsid w:val="2AC74579"/>
    <w:rsid w:val="319A7A27"/>
    <w:rsid w:val="37623DCB"/>
    <w:rsid w:val="3FC73820"/>
    <w:rsid w:val="47503248"/>
    <w:rsid w:val="4D272EA1"/>
    <w:rsid w:val="54983132"/>
    <w:rsid w:val="589D3EE3"/>
    <w:rsid w:val="5C8326D4"/>
    <w:rsid w:val="6B742D1C"/>
    <w:rsid w:val="718D32F4"/>
    <w:rsid w:val="79D72EC6"/>
    <w:rsid w:val="7AB0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784</Words>
  <Characters>851</Characters>
  <Lines>0</Lines>
  <Paragraphs>0</Paragraphs>
  <TotalTime>3</TotalTime>
  <ScaleCrop>false</ScaleCrop>
  <LinksUpToDate>false</LinksUpToDate>
  <CharactersWithSpaces>851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2019-07-09T08:26:00Z</dcterms:created>
  <dc:creator>Administrator</dc:creator>
  <cp:lastModifiedBy>等风来</cp:lastModifiedBy>
  <cp:lastPrinted>2019-08-11T07:09:13Z</cp:lastPrinted>
  <dcterms:modified xsi:type="dcterms:W3CDTF">2019-08-11T07:09:22Z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